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sz w:val="32"/>
          <w:szCs w:val="32"/>
        </w:rPr>
      </w:pPr>
    </w:p>
    <w:p>
      <w:pPr>
        <w:jc w:val="center"/>
        <w:rPr>
          <w:rFonts w:ascii="黑体" w:eastAsia="黑体"/>
          <w:sz w:val="72"/>
          <w:szCs w:val="72"/>
        </w:rPr>
      </w:pPr>
    </w:p>
    <w:p>
      <w:pPr>
        <w:jc w:val="center"/>
        <w:rPr>
          <w:rFonts w:ascii="黑体" w:eastAsia="黑体"/>
          <w:sz w:val="72"/>
          <w:szCs w:val="72"/>
        </w:rPr>
      </w:pPr>
    </w:p>
    <w:p>
      <w:pPr>
        <w:jc w:val="center"/>
        <w:rPr>
          <w:rFonts w:ascii="黑体" w:eastAsia="黑体"/>
          <w:sz w:val="72"/>
          <w:szCs w:val="72"/>
        </w:rPr>
      </w:pPr>
    </w:p>
    <w:p>
      <w:pPr>
        <w:jc w:val="center"/>
        <w:rPr>
          <w:rFonts w:ascii="黑体" w:eastAsia="黑体"/>
          <w:sz w:val="72"/>
          <w:szCs w:val="72"/>
        </w:rPr>
      </w:pPr>
      <w:r>
        <w:rPr>
          <w:rFonts w:hint="eastAsia" w:ascii="黑体" w:eastAsia="黑体"/>
          <w:sz w:val="72"/>
          <w:szCs w:val="72"/>
        </w:rPr>
        <w:t>北京京北职业技术学院</w:t>
      </w:r>
    </w:p>
    <w:p>
      <w:pPr>
        <w:jc w:val="center"/>
        <w:rPr>
          <w:rFonts w:ascii="黑体" w:eastAsia="黑体"/>
          <w:sz w:val="52"/>
          <w:szCs w:val="52"/>
        </w:rPr>
      </w:pPr>
      <w:r>
        <w:rPr>
          <w:rFonts w:hint="eastAsia" w:ascii="黑体" w:eastAsia="黑体"/>
          <w:sz w:val="72"/>
          <w:szCs w:val="72"/>
        </w:rPr>
        <w:t>202</w:t>
      </w:r>
      <w:r>
        <w:rPr>
          <w:rFonts w:hint="eastAsia" w:ascii="黑体" w:eastAsia="黑体"/>
          <w:sz w:val="72"/>
          <w:szCs w:val="72"/>
          <w:lang w:val="en-US" w:eastAsia="zh-CN"/>
        </w:rPr>
        <w:t>4</w:t>
      </w:r>
      <w:r>
        <w:rPr>
          <w:rFonts w:hint="eastAsia" w:ascii="黑体" w:eastAsia="黑体"/>
          <w:sz w:val="72"/>
          <w:szCs w:val="72"/>
        </w:rPr>
        <w:t>年度部门决算（</w:t>
      </w:r>
      <w:r>
        <w:rPr>
          <w:rFonts w:hint="eastAsia" w:ascii="黑体" w:eastAsia="黑体"/>
          <w:sz w:val="72"/>
          <w:szCs w:val="72"/>
          <w:lang w:val="en-US" w:eastAsia="zh-CN"/>
        </w:rPr>
        <w:t>公开</w:t>
      </w:r>
      <w:r>
        <w:rPr>
          <w:rFonts w:ascii="黑体" w:eastAsia="黑体"/>
          <w:sz w:val="72"/>
          <w:szCs w:val="72"/>
        </w:rPr>
        <w:t>）</w:t>
      </w:r>
    </w:p>
    <w:p>
      <w:pPr>
        <w:rPr>
          <w:rFonts w:ascii="黑体" w:eastAsia="黑体"/>
          <w:sz w:val="52"/>
          <w:szCs w:val="52"/>
        </w:rPr>
      </w:pPr>
    </w:p>
    <w:p>
      <w:pPr>
        <w:jc w:val="center"/>
        <w:rPr>
          <w:rFonts w:ascii="黑体" w:eastAsia="黑体"/>
          <w:sz w:val="32"/>
          <w:szCs w:val="32"/>
        </w:rPr>
      </w:pPr>
    </w:p>
    <w:p>
      <w:pPr>
        <w:spacing w:line="500" w:lineRule="exact"/>
        <w:ind w:firstLine="645"/>
        <w:jc w:val="center"/>
        <w:rPr>
          <w:rFonts w:ascii="宋体" w:hAnsi="宋体" w:cs="宋体"/>
          <w:b/>
          <w:bCs/>
          <w:kern w:val="0"/>
          <w:sz w:val="44"/>
          <w:szCs w:val="36"/>
        </w:rPr>
      </w:pPr>
    </w:p>
    <w:p>
      <w:pPr>
        <w:pStyle w:val="2"/>
        <w:rPr>
          <w:rFonts w:ascii="宋体" w:hAnsi="宋体" w:cs="宋体"/>
          <w:b/>
          <w:bCs/>
          <w:kern w:val="0"/>
          <w:sz w:val="44"/>
          <w:szCs w:val="36"/>
        </w:rPr>
      </w:pPr>
    </w:p>
    <w:p/>
    <w:p>
      <w:pPr>
        <w:spacing w:line="500" w:lineRule="exact"/>
        <w:ind w:firstLine="645"/>
        <w:jc w:val="center"/>
        <w:rPr>
          <w:rFonts w:ascii="宋体" w:hAnsi="宋体" w:cs="宋体"/>
          <w:b/>
          <w:bCs/>
          <w:kern w:val="0"/>
          <w:sz w:val="44"/>
          <w:szCs w:val="36"/>
        </w:rPr>
      </w:pPr>
    </w:p>
    <w:p>
      <w:pPr>
        <w:spacing w:line="500" w:lineRule="exact"/>
        <w:ind w:firstLine="645"/>
        <w:jc w:val="center"/>
        <w:rPr>
          <w:rFonts w:ascii="宋体" w:hAnsi="宋体" w:cs="宋体"/>
          <w:b/>
          <w:bCs/>
          <w:kern w:val="0"/>
          <w:sz w:val="44"/>
          <w:szCs w:val="36"/>
        </w:rPr>
      </w:pPr>
    </w:p>
    <w:p>
      <w:pPr>
        <w:spacing w:line="500" w:lineRule="exact"/>
        <w:ind w:firstLine="645"/>
        <w:jc w:val="center"/>
        <w:rPr>
          <w:rFonts w:ascii="宋体" w:hAnsi="宋体" w:cs="宋体"/>
          <w:b/>
          <w:bCs/>
          <w:kern w:val="0"/>
          <w:sz w:val="44"/>
          <w:szCs w:val="36"/>
        </w:rPr>
      </w:pPr>
      <w:r>
        <w:rPr>
          <w:rFonts w:hint="eastAsia" w:ascii="宋体" w:hAnsi="宋体" w:cs="宋体"/>
          <w:b/>
          <w:bCs/>
          <w:kern w:val="0"/>
          <w:sz w:val="44"/>
          <w:szCs w:val="36"/>
        </w:rPr>
        <w:t>目    录</w:t>
      </w:r>
    </w:p>
    <w:p>
      <w:pPr>
        <w:spacing w:line="500" w:lineRule="exact"/>
        <w:ind w:firstLine="645"/>
        <w:jc w:val="center"/>
        <w:rPr>
          <w:rFonts w:ascii="宋体" w:hAnsi="宋体" w:cs="宋体"/>
          <w:b/>
          <w:bCs/>
          <w:kern w:val="0"/>
          <w:sz w:val="36"/>
          <w:szCs w:val="36"/>
        </w:rPr>
      </w:pPr>
    </w:p>
    <w:p>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第一部分 202</w:t>
      </w:r>
      <w:r>
        <w:rPr>
          <w:rFonts w:hint="eastAsia" w:ascii="宋体" w:hAnsi="宋体" w:cs="宋体"/>
          <w:bCs/>
          <w:spacing w:val="40"/>
          <w:kern w:val="0"/>
          <w:sz w:val="32"/>
          <w:szCs w:val="32"/>
          <w:lang w:val="en-US" w:eastAsia="zh-CN"/>
        </w:rPr>
        <w:t>4</w:t>
      </w:r>
      <w:r>
        <w:rPr>
          <w:rFonts w:hint="eastAsia" w:ascii="宋体" w:hAnsi="宋体" w:cs="宋体"/>
          <w:bCs/>
          <w:spacing w:val="40"/>
          <w:kern w:val="0"/>
          <w:sz w:val="32"/>
          <w:szCs w:val="32"/>
        </w:rPr>
        <w:t>年度部门决算报表</w:t>
      </w:r>
    </w:p>
    <w:p>
      <w:pPr>
        <w:tabs>
          <w:tab w:val="center" w:pos="6979"/>
        </w:tabs>
        <w:spacing w:line="500" w:lineRule="exact"/>
        <w:ind w:firstLine="2400" w:firstLineChars="600"/>
        <w:jc w:val="left"/>
        <w:rPr>
          <w:rFonts w:hint="eastAsia"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六、一般公共预算财政拨款</w:t>
      </w:r>
      <w:r>
        <w:rPr>
          <w:rFonts w:ascii="仿宋_GB2312" w:hAnsi="仿宋" w:eastAsia="仿宋_GB2312" w:cs="宋体"/>
          <w:bCs/>
          <w:spacing w:val="40"/>
          <w:kern w:val="0"/>
          <w:sz w:val="32"/>
          <w:szCs w:val="32"/>
        </w:rPr>
        <w:t>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lang w:eastAsia="zh-CN"/>
        </w:rPr>
        <w:t>七</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lang w:eastAsia="zh-CN"/>
        </w:rPr>
        <w:t>八</w:t>
      </w:r>
      <w:r>
        <w:rPr>
          <w:rFonts w:hint="eastAsia" w:ascii="仿宋_GB2312" w:hAnsi="仿宋" w:eastAsia="仿宋_GB2312" w:cs="宋体"/>
          <w:bCs/>
          <w:spacing w:val="40"/>
          <w:kern w:val="0"/>
          <w:sz w:val="32"/>
          <w:szCs w:val="32"/>
        </w:rPr>
        <w:t>、</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lang w:eastAsia="zh-CN"/>
        </w:rPr>
        <w:t>九</w:t>
      </w:r>
      <w:r>
        <w:rPr>
          <w:rFonts w:hint="eastAsia" w:ascii="仿宋_GB2312" w:hAnsi="仿宋" w:eastAsia="仿宋_GB2312" w:cs="宋体"/>
          <w:bCs/>
          <w:spacing w:val="40"/>
          <w:kern w:val="0"/>
          <w:sz w:val="32"/>
          <w:szCs w:val="32"/>
        </w:rPr>
        <w:t>、国有资本经营预算财政拨款支出决算表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十、财政拨款“三公”经费支出决算表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十一、政府采购情况表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w:t>
      </w:r>
      <w:r>
        <w:rPr>
          <w:rFonts w:hint="eastAsia" w:ascii="仿宋_GB2312" w:hAnsi="仿宋" w:eastAsia="仿宋_GB2312" w:cs="宋体"/>
          <w:bCs/>
          <w:spacing w:val="40"/>
          <w:kern w:val="0"/>
          <w:sz w:val="32"/>
          <w:szCs w:val="32"/>
          <w:lang w:eastAsia="zh-CN"/>
        </w:rPr>
        <w:t>二</w:t>
      </w:r>
      <w:r>
        <w:rPr>
          <w:rFonts w:hint="eastAsia" w:ascii="仿宋_GB2312" w:hAnsi="仿宋" w:eastAsia="仿宋_GB2312" w:cs="宋体"/>
          <w:bCs/>
          <w:spacing w:val="40"/>
          <w:kern w:val="0"/>
          <w:sz w:val="32"/>
          <w:szCs w:val="32"/>
        </w:rPr>
        <w:t>、政府购买服务决算公开情况表</w:t>
      </w:r>
    </w:p>
    <w:p>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rPr>
        <w:t>202</w:t>
      </w:r>
      <w:r>
        <w:rPr>
          <w:rFonts w:hint="eastAsia" w:ascii="宋体" w:hAnsi="宋体"/>
          <w:spacing w:val="40"/>
          <w:sz w:val="32"/>
          <w:szCs w:val="32"/>
          <w:lang w:val="en-US" w:eastAsia="zh-CN"/>
        </w:rPr>
        <w:t>4</w:t>
      </w:r>
      <w:r>
        <w:rPr>
          <w:rFonts w:hint="eastAsia" w:ascii="宋体" w:hAnsi="宋体"/>
          <w:spacing w:val="40"/>
          <w:sz w:val="32"/>
          <w:szCs w:val="32"/>
        </w:rPr>
        <w:t>年度部门决算说明</w:t>
      </w:r>
    </w:p>
    <w:p>
      <w:pPr>
        <w:tabs>
          <w:tab w:val="center" w:pos="6979"/>
        </w:tabs>
        <w:spacing w:line="500" w:lineRule="exact"/>
        <w:ind w:firstLine="1600" w:firstLineChars="400"/>
        <w:jc w:val="left"/>
        <w:rPr>
          <w:rFonts w:hint="eastAsia" w:ascii="宋体" w:hAnsi="宋体" w:cs="宋体"/>
          <w:spacing w:val="40"/>
          <w:kern w:val="0"/>
          <w:sz w:val="32"/>
          <w:szCs w:val="32"/>
        </w:rPr>
      </w:pPr>
      <w:r>
        <w:rPr>
          <w:rFonts w:hint="eastAsia" w:ascii="宋体" w:hAnsi="宋体" w:cs="宋体"/>
          <w:bCs/>
          <w:spacing w:val="40"/>
          <w:kern w:val="0"/>
          <w:sz w:val="32"/>
          <w:szCs w:val="32"/>
        </w:rPr>
        <w:t xml:space="preserve">第三部分 </w:t>
      </w:r>
      <w:r>
        <w:rPr>
          <w:rFonts w:hint="eastAsia" w:ascii="宋体" w:hAnsi="宋体"/>
          <w:spacing w:val="40"/>
          <w:sz w:val="32"/>
          <w:szCs w:val="32"/>
        </w:rPr>
        <w:t>202</w:t>
      </w:r>
      <w:r>
        <w:rPr>
          <w:rFonts w:hint="eastAsia" w:ascii="宋体" w:hAnsi="宋体"/>
          <w:spacing w:val="40"/>
          <w:sz w:val="32"/>
          <w:szCs w:val="32"/>
          <w:lang w:val="en-US" w:eastAsia="zh-CN"/>
        </w:rPr>
        <w:t>4</w:t>
      </w:r>
      <w:r>
        <w:rPr>
          <w:rFonts w:hint="eastAsia" w:ascii="宋体" w:hAnsi="宋体"/>
          <w:spacing w:val="40"/>
          <w:sz w:val="32"/>
          <w:szCs w:val="32"/>
        </w:rPr>
        <w:t>年度</w:t>
      </w:r>
      <w:r>
        <w:rPr>
          <w:rFonts w:hint="eastAsia" w:ascii="宋体" w:hAnsi="宋体" w:cs="宋体"/>
          <w:spacing w:val="40"/>
          <w:kern w:val="0"/>
          <w:sz w:val="32"/>
          <w:szCs w:val="32"/>
        </w:rPr>
        <w:t>其他重要事项的情况说明</w:t>
      </w:r>
    </w:p>
    <w:p>
      <w:pPr>
        <w:tabs>
          <w:tab w:val="center" w:pos="6979"/>
        </w:tabs>
        <w:spacing w:line="500" w:lineRule="exact"/>
        <w:ind w:firstLine="1600" w:firstLineChars="400"/>
        <w:jc w:val="left"/>
        <w:rPr>
          <w:rFonts w:hint="eastAsia" w:ascii="宋体" w:hAnsi="宋体" w:cs="宋体"/>
          <w:spacing w:val="40"/>
          <w:kern w:val="0"/>
          <w:sz w:val="36"/>
          <w:szCs w:val="32"/>
        </w:rPr>
      </w:pPr>
      <w:r>
        <w:rPr>
          <w:rFonts w:hint="eastAsia" w:ascii="宋体" w:hAnsi="宋体" w:cs="宋体"/>
          <w:spacing w:val="40"/>
          <w:kern w:val="0"/>
          <w:sz w:val="32"/>
          <w:szCs w:val="32"/>
        </w:rPr>
        <w:t>第四部分 202</w:t>
      </w:r>
      <w:r>
        <w:rPr>
          <w:rFonts w:hint="eastAsia" w:ascii="宋体" w:hAnsi="宋体" w:cs="宋体"/>
          <w:spacing w:val="40"/>
          <w:kern w:val="0"/>
          <w:sz w:val="32"/>
          <w:szCs w:val="32"/>
          <w:lang w:val="en-US" w:eastAsia="zh-CN"/>
        </w:rPr>
        <w:t>4</w:t>
      </w:r>
      <w:r>
        <w:rPr>
          <w:rFonts w:hint="eastAsia" w:ascii="宋体" w:hAnsi="宋体" w:cs="宋体"/>
          <w:spacing w:val="40"/>
          <w:kern w:val="0"/>
          <w:sz w:val="32"/>
          <w:szCs w:val="32"/>
        </w:rPr>
        <w:t>年度部门绩效评价情况</w:t>
      </w: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r>
        <w:rPr>
          <w:rFonts w:hint="eastAsia" w:ascii="宋体" w:hAnsi="宋体" w:cs="宋体"/>
          <w:b/>
          <w:bCs/>
          <w:spacing w:val="40"/>
          <w:kern w:val="0"/>
          <w:sz w:val="44"/>
          <w:szCs w:val="44"/>
        </w:rPr>
        <w:t xml:space="preserve">第一部分 </w:t>
      </w:r>
      <w:r>
        <w:rPr>
          <w:rFonts w:hint="eastAsia" w:ascii="宋体" w:hAnsi="宋体" w:cs="宋体"/>
          <w:b/>
          <w:bCs/>
          <w:spacing w:val="40"/>
          <w:kern w:val="0"/>
          <w:sz w:val="44"/>
          <w:szCs w:val="44"/>
          <w:lang w:eastAsia="zh-CN"/>
        </w:rPr>
        <w:t>2024</w:t>
      </w:r>
      <w:r>
        <w:rPr>
          <w:rFonts w:hint="eastAsia" w:ascii="宋体" w:hAnsi="宋体" w:cs="宋体"/>
          <w:b/>
          <w:bCs/>
          <w:spacing w:val="40"/>
          <w:kern w:val="0"/>
          <w:sz w:val="44"/>
          <w:szCs w:val="44"/>
        </w:rPr>
        <w:t>年度部门决算报表</w:t>
      </w:r>
    </w:p>
    <w:p>
      <w:pPr>
        <w:pStyle w:val="4"/>
        <w:rPr>
          <w:b w:val="0"/>
          <w:bCs w:val="0"/>
        </w:rPr>
        <w:sectPr>
          <w:footerReference r:id="rId3" w:type="default"/>
          <w:pgSz w:w="16838" w:h="11906" w:orient="landscape"/>
          <w:pgMar w:top="1134" w:right="1134" w:bottom="1134" w:left="1134" w:header="851" w:footer="992" w:gutter="0"/>
          <w:cols w:space="720" w:num="1"/>
          <w:docGrid w:type="linesAndChars" w:linePitch="312" w:charSpace="0"/>
        </w:sectPr>
      </w:pPr>
      <w:r>
        <w:rPr>
          <w:rFonts w:hint="eastAsia" w:ascii="仿宋_GB2312" w:eastAsia="仿宋_GB2312"/>
          <w:sz w:val="28"/>
          <w:szCs w:val="28"/>
        </w:rPr>
        <w:t xml:space="preserve">   </w:t>
      </w:r>
      <w:r>
        <w:rPr>
          <w:rFonts w:hint="eastAsia" w:ascii="仿宋_GB2312" w:eastAsia="仿宋_GB2312"/>
          <w:b w:val="0"/>
          <w:bCs w:val="0"/>
          <w:sz w:val="28"/>
          <w:szCs w:val="28"/>
        </w:rPr>
        <w:t>详见附</w:t>
      </w:r>
      <w:r>
        <w:rPr>
          <w:rFonts w:hint="eastAsia" w:ascii="仿宋_GB2312" w:eastAsia="仿宋_GB2312"/>
          <w:b w:val="0"/>
          <w:bCs w:val="0"/>
          <w:sz w:val="28"/>
          <w:szCs w:val="28"/>
          <w:lang w:eastAsia="zh-CN"/>
        </w:rPr>
        <w:t>表</w:t>
      </w:r>
      <w:r>
        <w:rPr>
          <w:rFonts w:hint="eastAsia" w:ascii="仿宋_GB2312" w:eastAsia="仿宋_GB2312"/>
          <w:b w:val="0"/>
          <w:bCs w:val="0"/>
          <w:sz w:val="28"/>
          <w:szCs w:val="28"/>
        </w:rPr>
        <w:t>。</w:t>
      </w:r>
    </w:p>
    <w:p>
      <w:pPr>
        <w:pageBreakBefore/>
        <w:tabs>
          <w:tab w:val="center" w:pos="6979"/>
        </w:tabs>
        <w:spacing w:before="156" w:beforeLines="50" w:after="156" w:afterLines="50"/>
        <w:jc w:val="center"/>
        <w:rPr>
          <w:rFonts w:ascii="宋体" w:hAnsi="宋体"/>
          <w:b/>
          <w:sz w:val="32"/>
          <w:szCs w:val="32"/>
        </w:rPr>
      </w:pPr>
      <w:r>
        <w:rPr>
          <w:rFonts w:hint="eastAsia" w:ascii="宋体" w:hAnsi="宋体" w:cs="宋体"/>
          <w:b/>
          <w:bCs/>
          <w:spacing w:val="40"/>
          <w:kern w:val="0"/>
          <w:sz w:val="32"/>
          <w:szCs w:val="32"/>
        </w:rPr>
        <w:t xml:space="preserve">第二部分 </w:t>
      </w:r>
      <w:r>
        <w:rPr>
          <w:rFonts w:hint="eastAsia" w:ascii="宋体" w:hAnsi="宋体"/>
          <w:b/>
          <w:spacing w:val="40"/>
          <w:sz w:val="32"/>
          <w:szCs w:val="32"/>
        </w:rPr>
        <w:t>2024年度部门决算说明</w:t>
      </w:r>
    </w:p>
    <w:p>
      <w:pPr>
        <w:tabs>
          <w:tab w:val="center" w:pos="6979"/>
        </w:tabs>
        <w:spacing w:line="580" w:lineRule="exact"/>
        <w:ind w:firstLine="548" w:firstLineChars="196"/>
        <w:rPr>
          <w:rFonts w:ascii="黑体" w:eastAsia="黑体"/>
          <w:b w:val="0"/>
          <w:bCs/>
          <w:sz w:val="28"/>
          <w:szCs w:val="28"/>
        </w:rPr>
      </w:pPr>
      <w:r>
        <w:rPr>
          <w:rFonts w:hint="eastAsia" w:ascii="黑体" w:eastAsia="黑体"/>
          <w:b w:val="0"/>
          <w:bCs/>
          <w:sz w:val="28"/>
          <w:szCs w:val="28"/>
        </w:rPr>
        <w:t>一、部门基本情况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cs="仿宋_GB2312"/>
          <w:sz w:val="28"/>
          <w:szCs w:val="28"/>
          <w:lang w:bidi="ar"/>
        </w:rPr>
      </w:pPr>
      <w:r>
        <w:rPr>
          <w:rFonts w:ascii="仿宋_GB2312" w:eastAsia="仿宋_GB2312" w:cs="仿宋_GB2312"/>
          <w:sz w:val="28"/>
          <w:szCs w:val="28"/>
          <w:lang w:bidi="ar"/>
        </w:rPr>
        <w:t>北京京北职业技术学院是经北京市人民政府批准，教育部备案，独立设置的公办全日制高等职业院校，学院为全额拨款事业单位，占地</w:t>
      </w:r>
      <w:r>
        <w:rPr>
          <w:rFonts w:ascii="仿宋_GB2312" w:eastAsia="仿宋_GB2312"/>
          <w:sz w:val="28"/>
          <w:szCs w:val="28"/>
          <w:lang w:bidi="ar"/>
        </w:rPr>
        <w:t>186亩，建筑面积6.23万平方米。</w:t>
      </w:r>
      <w:r>
        <w:rPr>
          <w:rFonts w:ascii="仿宋_GB2312" w:eastAsia="仿宋_GB2312" w:cs="仿宋_GB2312"/>
          <w:sz w:val="28"/>
          <w:szCs w:val="28"/>
          <w:lang w:bidi="ar"/>
        </w:rPr>
        <w:t>主要从事高等职业教育工作，开办建筑、会计、电子竞技、学前教育、社区康复、护理等专业，为区域经济发展培养大、中专人才；并且承担怀柔成人学历教育和非学历教育（短期培训）、公共服务等职能。单位地址位于怀柔区小中富乐一区188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cs="仿宋_GB2312"/>
          <w:sz w:val="28"/>
          <w:szCs w:val="28"/>
        </w:rPr>
      </w:pPr>
      <w:bookmarkStart w:id="0" w:name="OLE_LINK1"/>
      <w:r>
        <w:rPr>
          <w:rFonts w:ascii="仿宋_GB2312" w:eastAsia="仿宋_GB2312" w:cs="仿宋_GB2312"/>
          <w:sz w:val="28"/>
          <w:szCs w:val="28"/>
          <w:lang w:bidi="ar"/>
        </w:rPr>
        <w:t>现有两个二级单位，一个为北京京北职业技术学院本级，一个为北京开放大学怀柔分校。</w:t>
      </w:r>
    </w:p>
    <w:bookmarkEnd w:id="0"/>
    <w:p>
      <w:pPr>
        <w:keepNext w:val="0"/>
        <w:keepLines w:val="0"/>
        <w:pageBreakBefore w:val="0"/>
        <w:widowControl w:val="0"/>
        <w:tabs>
          <w:tab w:val="center" w:pos="6979"/>
        </w:tabs>
        <w:kinsoku/>
        <w:wordWrap/>
        <w:overflowPunct/>
        <w:topLinePunct w:val="0"/>
        <w:autoSpaceDE/>
        <w:autoSpaceDN/>
        <w:bidi w:val="0"/>
        <w:adjustRightInd/>
        <w:snapToGrid/>
        <w:spacing w:line="560" w:lineRule="exact"/>
        <w:textAlignment w:val="auto"/>
        <w:rPr>
          <w:rFonts w:ascii="黑体" w:eastAsia="黑体"/>
          <w:b w:val="0"/>
          <w:bCs/>
          <w:sz w:val="28"/>
          <w:szCs w:val="28"/>
        </w:rPr>
      </w:pPr>
      <w:r>
        <w:rPr>
          <w:rFonts w:hint="eastAsia" w:ascii="仿宋_GB2312" w:eastAsia="仿宋_GB2312"/>
          <w:b/>
          <w:sz w:val="32"/>
          <w:szCs w:val="32"/>
        </w:rPr>
        <w:t xml:space="preserve">  </w:t>
      </w:r>
      <w:r>
        <w:rPr>
          <w:rFonts w:hint="eastAsia" w:ascii="仿宋_GB2312" w:eastAsia="仿宋_GB2312"/>
          <w:b w:val="0"/>
          <w:bCs/>
          <w:sz w:val="32"/>
          <w:szCs w:val="32"/>
        </w:rPr>
        <w:t xml:space="preserve"> </w:t>
      </w:r>
      <w:r>
        <w:rPr>
          <w:rFonts w:hint="eastAsia" w:ascii="黑体" w:eastAsia="黑体"/>
          <w:b w:val="0"/>
          <w:bCs/>
          <w:sz w:val="28"/>
          <w:szCs w:val="28"/>
        </w:rPr>
        <w:t>二、收入支出决算总体情况说明</w:t>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70"/>
        <w:textAlignment w:val="auto"/>
        <w:rPr>
          <w:rFonts w:ascii="仿宋_GB2312" w:eastAsia="仿宋_GB2312"/>
          <w:sz w:val="28"/>
          <w:szCs w:val="28"/>
        </w:rPr>
      </w:pPr>
      <w:r>
        <w:rPr>
          <w:rFonts w:hint="eastAsia" w:ascii="仿宋_GB2312" w:eastAsia="仿宋_GB2312"/>
          <w:sz w:val="28"/>
          <w:szCs w:val="28"/>
        </w:rPr>
        <w:t>2024年度收、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11445.15</w:t>
      </w:r>
      <w:r>
        <w:rPr>
          <w:rFonts w:hint="eastAsia" w:ascii="仿宋_GB2312" w:eastAsia="仿宋_GB2312"/>
          <w:sz w:val="28"/>
          <w:szCs w:val="28"/>
        </w:rPr>
        <w:t>万元，</w:t>
      </w:r>
      <w:r>
        <w:rPr>
          <w:rFonts w:ascii="仿宋_GB2312" w:eastAsia="仿宋_GB2312"/>
          <w:sz w:val="28"/>
          <w:szCs w:val="28"/>
        </w:rPr>
        <w:t>比上年增加</w:t>
      </w:r>
      <w:r>
        <w:rPr>
          <w:rFonts w:hint="eastAsia" w:ascii="仿宋_GB2312" w:eastAsia="仿宋_GB2312"/>
          <w:sz w:val="28"/>
          <w:szCs w:val="28"/>
        </w:rPr>
        <w:t>969.41万元，增长9.25%。</w:t>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70"/>
        <w:textAlignment w:val="auto"/>
        <w:rPr>
          <w:rFonts w:ascii="仿宋_GB2312" w:eastAsia="仿宋_GB2312"/>
          <w:sz w:val="28"/>
          <w:szCs w:val="28"/>
        </w:rPr>
      </w:pPr>
      <w:r>
        <w:rPr>
          <w:rFonts w:hint="eastAsia" w:ascii="仿宋_GB2312" w:eastAsia="仿宋_GB2312"/>
          <w:sz w:val="28"/>
          <w:szCs w:val="28"/>
        </w:rPr>
        <w:t>（一</w:t>
      </w:r>
      <w:r>
        <w:rPr>
          <w:rFonts w:ascii="仿宋_GB2312" w:eastAsia="仿宋_GB2312"/>
          <w:sz w:val="28"/>
          <w:szCs w:val="28"/>
        </w:rPr>
        <w:t>）</w:t>
      </w:r>
      <w:r>
        <w:rPr>
          <w:rFonts w:hint="eastAsia" w:ascii="仿宋_GB2312" w:eastAsia="仿宋_GB2312"/>
          <w:sz w:val="28"/>
          <w:szCs w:val="28"/>
        </w:rPr>
        <w:t>收入决算</w:t>
      </w:r>
      <w:r>
        <w:rPr>
          <w:rFonts w:ascii="仿宋_GB2312" w:eastAsia="仿宋_GB2312"/>
          <w:sz w:val="28"/>
          <w:szCs w:val="28"/>
        </w:rPr>
        <w:t>说明</w:t>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70"/>
        <w:textAlignment w:val="auto"/>
        <w:rPr>
          <w:rFonts w:ascii="仿宋_GB2312" w:eastAsia="仿宋_GB2312"/>
          <w:sz w:val="28"/>
          <w:szCs w:val="28"/>
        </w:rPr>
      </w:pPr>
      <w:r>
        <w:rPr>
          <w:rFonts w:hint="eastAsia" w:ascii="仿宋_GB2312" w:eastAsia="仿宋_GB2312"/>
          <w:sz w:val="28"/>
          <w:szCs w:val="28"/>
        </w:rPr>
        <w:t>2024年度本年收入合计</w:t>
      </w:r>
      <w:bookmarkStart w:id="1" w:name="OLE_LINK8"/>
      <w:r>
        <w:rPr>
          <w:rFonts w:ascii="仿宋_GB2312" w:eastAsia="仿宋_GB2312"/>
          <w:sz w:val="28"/>
          <w:szCs w:val="28"/>
        </w:rPr>
        <w:t>10810.18</w:t>
      </w:r>
      <w:bookmarkEnd w:id="1"/>
      <w:r>
        <w:rPr>
          <w:rFonts w:hint="eastAsia" w:ascii="仿宋_GB2312" w:eastAsia="仿宋_GB2312"/>
          <w:sz w:val="28"/>
          <w:szCs w:val="28"/>
        </w:rPr>
        <w:t>万元，</w:t>
      </w:r>
      <w:r>
        <w:rPr>
          <w:rFonts w:ascii="仿宋_GB2312" w:eastAsia="仿宋_GB2312"/>
          <w:sz w:val="28"/>
          <w:szCs w:val="28"/>
        </w:rPr>
        <w:t>比上年增加</w:t>
      </w:r>
      <w:r>
        <w:rPr>
          <w:rFonts w:hint="eastAsia" w:ascii="仿宋_GB2312" w:eastAsia="仿宋_GB2312"/>
          <w:sz w:val="28"/>
          <w:szCs w:val="28"/>
        </w:rPr>
        <w:t>1028.54万元，增长10.52%。</w:t>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60" w:firstLineChars="200"/>
        <w:textAlignment w:val="auto"/>
      </w:pPr>
      <w:r>
        <w:rPr>
          <w:rFonts w:hint="eastAsia" w:ascii="仿宋_GB2312" w:eastAsia="仿宋_GB2312"/>
          <w:sz w:val="28"/>
          <w:szCs w:val="28"/>
        </w:rPr>
        <w:t>1.财政拨款收入</w:t>
      </w:r>
      <w:r>
        <w:rPr>
          <w:rFonts w:ascii="仿宋_GB2312" w:eastAsia="仿宋_GB2312"/>
          <w:sz w:val="28"/>
          <w:szCs w:val="28"/>
        </w:rPr>
        <w:t>8991.71</w:t>
      </w:r>
      <w:r>
        <w:rPr>
          <w:rFonts w:hint="eastAsia" w:ascii="仿宋_GB2312" w:eastAsia="仿宋_GB2312"/>
          <w:sz w:val="28"/>
          <w:szCs w:val="28"/>
        </w:rPr>
        <w:t>万元，占收入合计的83.18%。其中：一般公共预算财政拨款收入</w:t>
      </w:r>
      <w:r>
        <w:rPr>
          <w:rFonts w:ascii="仿宋_GB2312" w:eastAsia="仿宋_GB2312"/>
          <w:sz w:val="28"/>
          <w:szCs w:val="28"/>
        </w:rPr>
        <w:t>8991.71</w:t>
      </w:r>
      <w:r>
        <w:rPr>
          <w:rFonts w:hint="eastAsia" w:ascii="仿宋_GB2312" w:eastAsia="仿宋_GB2312"/>
          <w:sz w:val="28"/>
          <w:szCs w:val="28"/>
        </w:rPr>
        <w:t>万元，占收入合计的83.18%；政府性基金预算财政拨款收入</w:t>
      </w:r>
      <w:r>
        <w:rPr>
          <w:rFonts w:ascii="仿宋_GB2312" w:eastAsia="仿宋_GB2312"/>
          <w:sz w:val="28"/>
          <w:szCs w:val="28"/>
        </w:rPr>
        <w:t>0</w:t>
      </w:r>
      <w:r>
        <w:rPr>
          <w:rFonts w:hint="eastAsia" w:ascii="仿宋_GB2312" w:eastAsia="仿宋_GB2312"/>
          <w:sz w:val="28"/>
          <w:szCs w:val="28"/>
        </w:rPr>
        <w:t>万元，占收入合计的0%；国有资本经营预算财政拨款收入</w:t>
      </w:r>
      <w:r>
        <w:rPr>
          <w:rFonts w:ascii="仿宋_GB2312" w:eastAsia="仿宋_GB2312"/>
          <w:sz w:val="28"/>
          <w:szCs w:val="28"/>
        </w:rPr>
        <w:t>0</w:t>
      </w:r>
      <w:r>
        <w:rPr>
          <w:rFonts w:hint="eastAsia" w:ascii="仿宋_GB2312" w:eastAsia="仿宋_GB2312"/>
          <w:sz w:val="28"/>
          <w:szCs w:val="28"/>
        </w:rPr>
        <w:t>万元，占收入合计的0%；</w:t>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60" w:firstLineChars="200"/>
        <w:textAlignment w:val="auto"/>
        <w:rPr>
          <w:rFonts w:ascii="仿宋_GB2312" w:eastAsia="仿宋_GB2312"/>
          <w:sz w:val="28"/>
          <w:szCs w:val="28"/>
        </w:rPr>
      </w:pPr>
      <w:r>
        <w:rPr>
          <w:rFonts w:hint="eastAsia" w:ascii="仿宋_GB2312" w:eastAsia="仿宋_GB2312"/>
          <w:sz w:val="28"/>
          <w:szCs w:val="28"/>
        </w:rPr>
        <w:t>2.上级补助收入</w:t>
      </w:r>
      <w:r>
        <w:rPr>
          <w:rFonts w:ascii="仿宋_GB2312" w:eastAsia="仿宋_GB2312"/>
          <w:sz w:val="28"/>
          <w:szCs w:val="28"/>
        </w:rPr>
        <w:t>0</w:t>
      </w:r>
      <w:r>
        <w:rPr>
          <w:rFonts w:hint="eastAsia" w:ascii="仿宋_GB2312" w:eastAsia="仿宋_GB2312"/>
          <w:sz w:val="28"/>
          <w:szCs w:val="28"/>
        </w:rPr>
        <w:t>万元，占收入合计的0%；</w:t>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60" w:firstLineChars="200"/>
        <w:textAlignment w:val="auto"/>
        <w:rPr>
          <w:rFonts w:ascii="仿宋_GB2312" w:eastAsia="仿宋_GB2312"/>
          <w:sz w:val="28"/>
          <w:szCs w:val="28"/>
        </w:rPr>
      </w:pPr>
      <w:r>
        <w:rPr>
          <w:rFonts w:hint="eastAsia" w:ascii="仿宋_GB2312" w:eastAsia="仿宋_GB2312"/>
          <w:sz w:val="28"/>
          <w:szCs w:val="28"/>
        </w:rPr>
        <w:t>3.事业收入</w:t>
      </w:r>
      <w:r>
        <w:rPr>
          <w:rFonts w:ascii="仿宋_GB2312" w:eastAsia="仿宋_GB2312"/>
          <w:sz w:val="28"/>
          <w:szCs w:val="28"/>
        </w:rPr>
        <w:t>1780.41</w:t>
      </w:r>
      <w:r>
        <w:rPr>
          <w:rFonts w:hint="eastAsia" w:ascii="仿宋_GB2312" w:eastAsia="仿宋_GB2312"/>
          <w:sz w:val="28"/>
          <w:szCs w:val="28"/>
        </w:rPr>
        <w:t>万元，占收入合计的16.47%；</w:t>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60" w:firstLineChars="200"/>
        <w:textAlignment w:val="auto"/>
        <w:rPr>
          <w:rFonts w:ascii="仿宋_GB2312" w:eastAsia="仿宋_GB2312"/>
          <w:sz w:val="28"/>
          <w:szCs w:val="28"/>
        </w:rPr>
      </w:pPr>
      <w:r>
        <w:rPr>
          <w:rFonts w:hint="eastAsia" w:ascii="仿宋_GB2312" w:eastAsia="仿宋_GB2312"/>
          <w:sz w:val="28"/>
          <w:szCs w:val="28"/>
        </w:rPr>
        <w:t>4.经营收入</w:t>
      </w:r>
      <w:r>
        <w:rPr>
          <w:rFonts w:ascii="仿宋_GB2312" w:eastAsia="仿宋_GB2312"/>
          <w:sz w:val="28"/>
          <w:szCs w:val="28"/>
        </w:rPr>
        <w:t>0</w:t>
      </w:r>
      <w:r>
        <w:rPr>
          <w:rFonts w:hint="eastAsia" w:ascii="仿宋_GB2312" w:eastAsia="仿宋_GB2312"/>
          <w:sz w:val="28"/>
          <w:szCs w:val="28"/>
        </w:rPr>
        <w:t>万元，占收入合计的0%；</w:t>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60" w:firstLineChars="200"/>
        <w:textAlignment w:val="auto"/>
        <w:rPr>
          <w:rFonts w:ascii="仿宋_GB2312" w:eastAsia="仿宋_GB2312"/>
          <w:sz w:val="28"/>
          <w:szCs w:val="28"/>
        </w:rPr>
      </w:pPr>
      <w:r>
        <w:rPr>
          <w:rFonts w:hint="eastAsia" w:ascii="仿宋_GB2312" w:eastAsia="仿宋_GB2312"/>
          <w:sz w:val="28"/>
          <w:szCs w:val="28"/>
        </w:rPr>
        <w:t>5.附属单位上缴收入</w:t>
      </w:r>
      <w:r>
        <w:rPr>
          <w:rFonts w:ascii="仿宋_GB2312" w:eastAsia="仿宋_GB2312"/>
          <w:sz w:val="28"/>
          <w:szCs w:val="28"/>
        </w:rPr>
        <w:t>0</w:t>
      </w:r>
      <w:r>
        <w:rPr>
          <w:rFonts w:hint="eastAsia" w:ascii="仿宋_GB2312" w:eastAsia="仿宋_GB2312"/>
          <w:sz w:val="28"/>
          <w:szCs w:val="28"/>
        </w:rPr>
        <w:t>万元，占收入合计的0%；</w:t>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60" w:firstLineChars="200"/>
        <w:textAlignment w:val="auto"/>
        <w:rPr>
          <w:rFonts w:ascii="仿宋_GB2312" w:eastAsia="仿宋_GB2312"/>
          <w:sz w:val="28"/>
          <w:szCs w:val="28"/>
        </w:rPr>
      </w:pPr>
      <w:r>
        <w:rPr>
          <w:rFonts w:hint="eastAsia" w:ascii="仿宋_GB2312" w:eastAsia="仿宋_GB2312"/>
          <w:sz w:val="28"/>
          <w:szCs w:val="28"/>
        </w:rPr>
        <w:t>6.其他收入</w:t>
      </w:r>
      <w:r>
        <w:rPr>
          <w:rFonts w:ascii="仿宋_GB2312" w:eastAsia="仿宋_GB2312"/>
          <w:sz w:val="28"/>
          <w:szCs w:val="28"/>
        </w:rPr>
        <w:t>38.06</w:t>
      </w:r>
      <w:r>
        <w:rPr>
          <w:rFonts w:hint="eastAsia" w:ascii="仿宋_GB2312" w:eastAsia="仿宋_GB2312"/>
          <w:sz w:val="28"/>
          <w:szCs w:val="28"/>
        </w:rPr>
        <w:t>万元，占收入合计的0.35%。</w:t>
      </w:r>
    </w:p>
    <w:p>
      <w:pPr>
        <w:pStyle w:val="4"/>
        <w:jc w:val="center"/>
      </w:pPr>
      <w:r>
        <w:rPr>
          <w:rFonts w:hint="eastAsia" w:ascii="仿宋_GB2312" w:eastAsia="仿宋_GB2312"/>
          <w:color w:val="000000"/>
          <w:sz w:val="32"/>
        </w:rPr>
        <w:t>图1：收入决算</w:t>
      </w:r>
    </w:p>
    <w:p>
      <w:pPr>
        <w:pStyle w:val="2"/>
        <w:ind w:firstLine="420"/>
        <w:jc w:val="center"/>
      </w:pPr>
      <w:r>
        <w:drawing>
          <wp:inline distT="0" distB="0" distL="0" distR="0">
            <wp:extent cx="4036695" cy="2328545"/>
            <wp:effectExtent l="0" t="0" r="20955" b="14605"/>
            <wp:docPr id="3" name="图表 3" title="{{pieChar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73"/>
        <w:textAlignment w:val="auto"/>
        <w:rPr>
          <w:rFonts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支出决算</w:t>
      </w:r>
      <w:r>
        <w:rPr>
          <w:rFonts w:ascii="仿宋_GB2312" w:eastAsia="仿宋_GB2312"/>
          <w:sz w:val="28"/>
          <w:szCs w:val="28"/>
        </w:rPr>
        <w:t>说明</w:t>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73"/>
        <w:textAlignment w:val="auto"/>
        <w:rPr>
          <w:rFonts w:ascii="仿宋_GB2312" w:eastAsia="仿宋_GB2312"/>
          <w:sz w:val="28"/>
          <w:szCs w:val="28"/>
        </w:rPr>
      </w:pPr>
      <w:r>
        <w:rPr>
          <w:rFonts w:hint="eastAsia" w:ascii="仿宋_GB2312" w:eastAsia="仿宋_GB2312"/>
          <w:sz w:val="28"/>
          <w:szCs w:val="28"/>
        </w:rPr>
        <w:t>2024年度本年支出合计</w:t>
      </w:r>
      <w:bookmarkStart w:id="2" w:name="OLE_LINK10"/>
      <w:r>
        <w:rPr>
          <w:rFonts w:ascii="仿宋_GB2312" w:eastAsia="仿宋_GB2312"/>
          <w:sz w:val="28"/>
          <w:szCs w:val="28"/>
        </w:rPr>
        <w:t>10739.85</w:t>
      </w:r>
      <w:bookmarkEnd w:id="2"/>
      <w:r>
        <w:rPr>
          <w:rFonts w:hint="eastAsia" w:ascii="仿宋_GB2312" w:eastAsia="仿宋_GB2312"/>
          <w:sz w:val="28"/>
          <w:szCs w:val="28"/>
        </w:rPr>
        <w:t>万元，</w:t>
      </w:r>
      <w:r>
        <w:rPr>
          <w:rFonts w:ascii="仿宋_GB2312" w:eastAsia="仿宋_GB2312"/>
          <w:sz w:val="28"/>
          <w:szCs w:val="28"/>
        </w:rPr>
        <w:t>比上年增加</w:t>
      </w:r>
      <w:r>
        <w:rPr>
          <w:rFonts w:hint="eastAsia" w:ascii="仿宋_GB2312" w:eastAsia="仿宋_GB2312"/>
          <w:sz w:val="28"/>
          <w:szCs w:val="28"/>
        </w:rPr>
        <w:t>899.08万元，增长9.14%，其中：基本支出</w:t>
      </w:r>
      <w:r>
        <w:rPr>
          <w:rFonts w:ascii="仿宋_GB2312" w:eastAsia="仿宋_GB2312"/>
          <w:sz w:val="28"/>
          <w:szCs w:val="28"/>
        </w:rPr>
        <w:t>8190.37</w:t>
      </w:r>
      <w:r>
        <w:rPr>
          <w:rFonts w:hint="eastAsia" w:ascii="仿宋_GB2312" w:eastAsia="仿宋_GB2312"/>
          <w:sz w:val="28"/>
          <w:szCs w:val="28"/>
        </w:rPr>
        <w:t>万元，占支出合计的76.26%；项目支出</w:t>
      </w:r>
      <w:r>
        <w:rPr>
          <w:rFonts w:ascii="仿宋_GB2312" w:eastAsia="仿宋_GB2312"/>
          <w:sz w:val="28"/>
          <w:szCs w:val="28"/>
        </w:rPr>
        <w:t>2549.48</w:t>
      </w:r>
      <w:r>
        <w:rPr>
          <w:rFonts w:hint="eastAsia" w:ascii="仿宋_GB2312" w:eastAsia="仿宋_GB2312"/>
          <w:sz w:val="28"/>
          <w:szCs w:val="28"/>
        </w:rPr>
        <w:t>万元，占支出合计的23.74%;上缴上级支出</w:t>
      </w:r>
      <w:r>
        <w:rPr>
          <w:rFonts w:ascii="仿宋_GB2312" w:eastAsia="仿宋_GB2312"/>
          <w:sz w:val="28"/>
          <w:szCs w:val="28"/>
        </w:rPr>
        <w:t>0</w:t>
      </w:r>
      <w:r>
        <w:rPr>
          <w:rFonts w:hint="eastAsia" w:ascii="仿宋_GB2312" w:eastAsia="仿宋_GB2312"/>
          <w:sz w:val="28"/>
          <w:szCs w:val="28"/>
        </w:rPr>
        <w:t>万元，占支出合计的0%；经营支出</w:t>
      </w:r>
      <w:r>
        <w:rPr>
          <w:rFonts w:ascii="仿宋_GB2312" w:eastAsia="仿宋_GB2312"/>
          <w:sz w:val="28"/>
          <w:szCs w:val="28"/>
        </w:rPr>
        <w:t>0</w:t>
      </w:r>
      <w:r>
        <w:rPr>
          <w:rFonts w:hint="eastAsia" w:ascii="仿宋_GB2312" w:eastAsia="仿宋_GB2312"/>
          <w:sz w:val="28"/>
          <w:szCs w:val="28"/>
        </w:rPr>
        <w:t>万元，占支出合计的0%；对附属单位补助支出</w:t>
      </w:r>
      <w:r>
        <w:rPr>
          <w:rFonts w:ascii="仿宋_GB2312" w:eastAsia="仿宋_GB2312"/>
          <w:sz w:val="28"/>
          <w:szCs w:val="28"/>
        </w:rPr>
        <w:t>0</w:t>
      </w:r>
      <w:r>
        <w:rPr>
          <w:rFonts w:hint="eastAsia" w:ascii="仿宋_GB2312" w:eastAsia="仿宋_GB2312"/>
          <w:sz w:val="28"/>
          <w:szCs w:val="28"/>
        </w:rPr>
        <w:t>万元，占支出合计的0%。</w:t>
      </w:r>
    </w:p>
    <w:p>
      <w:pPr>
        <w:pStyle w:val="4"/>
        <w:ind w:firstLine="642"/>
        <w:jc w:val="center"/>
        <w:rPr>
          <w:rFonts w:ascii="仿宋_GB2312" w:eastAsia="仿宋_GB2312"/>
          <w:color w:val="000000"/>
          <w:sz w:val="32"/>
        </w:rPr>
      </w:pPr>
      <w:r>
        <w:rPr>
          <w:rFonts w:hint="eastAsia" w:ascii="仿宋_GB2312" w:eastAsia="仿宋_GB2312"/>
          <w:color w:val="000000"/>
          <w:sz w:val="32"/>
        </w:rPr>
        <w:t>图2：基本支出和项目支出情况</w:t>
      </w:r>
    </w:p>
    <w:p>
      <w:pPr>
        <w:jc w:val="center"/>
        <w:rPr>
          <w:rFonts w:ascii="黑体" w:eastAsia="黑体"/>
          <w:b/>
          <w:sz w:val="28"/>
          <w:szCs w:val="28"/>
        </w:rPr>
      </w:pPr>
      <w:r>
        <w:drawing>
          <wp:inline distT="0" distB="0" distL="114300" distR="114300">
            <wp:extent cx="4572000" cy="2743200"/>
            <wp:effectExtent l="4445" t="4445" r="14605" b="14605"/>
            <wp:docPr id="1" name="图表 3" title="{{pieChart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keepNext w:val="0"/>
        <w:keepLines w:val="0"/>
        <w:pageBreakBefore w:val="0"/>
        <w:widowControl w:val="0"/>
        <w:tabs>
          <w:tab w:val="center" w:pos="6979"/>
        </w:tabs>
        <w:kinsoku/>
        <w:wordWrap/>
        <w:overflowPunct/>
        <w:topLinePunct w:val="0"/>
        <w:bidi w:val="0"/>
        <w:snapToGrid/>
        <w:spacing w:line="560" w:lineRule="exact"/>
        <w:ind w:firstLine="548" w:firstLineChars="196"/>
        <w:textAlignment w:val="auto"/>
        <w:rPr>
          <w:rFonts w:ascii="黑体" w:eastAsia="黑体"/>
          <w:b w:val="0"/>
          <w:bCs/>
          <w:sz w:val="28"/>
          <w:szCs w:val="28"/>
        </w:rPr>
      </w:pPr>
      <w:r>
        <w:rPr>
          <w:rFonts w:hint="eastAsia" w:ascii="黑体" w:eastAsia="黑体"/>
          <w:b w:val="0"/>
          <w:bCs/>
          <w:sz w:val="28"/>
          <w:szCs w:val="28"/>
        </w:rPr>
        <w:t>三</w:t>
      </w:r>
      <w:r>
        <w:rPr>
          <w:rFonts w:ascii="黑体" w:eastAsia="黑体"/>
          <w:b w:val="0"/>
          <w:bCs/>
          <w:sz w:val="28"/>
          <w:szCs w:val="28"/>
        </w:rPr>
        <w:t>、财政拨款</w:t>
      </w:r>
      <w:r>
        <w:rPr>
          <w:rFonts w:hint="eastAsia" w:ascii="黑体" w:eastAsia="黑体"/>
          <w:b w:val="0"/>
          <w:bCs/>
          <w:sz w:val="28"/>
          <w:szCs w:val="28"/>
        </w:rPr>
        <w:t>收入支出决算</w:t>
      </w:r>
      <w:r>
        <w:rPr>
          <w:rFonts w:ascii="黑体" w:eastAsia="黑体"/>
          <w:b w:val="0"/>
          <w:bCs/>
          <w:sz w:val="28"/>
          <w:szCs w:val="28"/>
        </w:rPr>
        <w:t>总体情况说明</w:t>
      </w:r>
    </w:p>
    <w:p>
      <w:pPr>
        <w:keepNext w:val="0"/>
        <w:keepLines w:val="0"/>
        <w:pageBreakBefore w:val="0"/>
        <w:widowControl w:val="0"/>
        <w:tabs>
          <w:tab w:val="center" w:pos="6979"/>
        </w:tabs>
        <w:kinsoku/>
        <w:wordWrap/>
        <w:overflowPunct/>
        <w:topLinePunct w:val="0"/>
        <w:bidi w:val="0"/>
        <w:snapToGrid/>
        <w:spacing w:line="560" w:lineRule="exact"/>
        <w:ind w:firstLine="570"/>
        <w:textAlignment w:val="auto"/>
        <w:rPr>
          <w:rFonts w:ascii="仿宋_GB2312" w:eastAsia="仿宋_GB2312"/>
          <w:sz w:val="28"/>
          <w:szCs w:val="28"/>
        </w:rPr>
      </w:pPr>
      <w:r>
        <w:rPr>
          <w:rFonts w:hint="eastAsia" w:ascii="仿宋_GB2312" w:eastAsia="仿宋_GB2312"/>
          <w:sz w:val="28"/>
          <w:szCs w:val="28"/>
        </w:rPr>
        <w:t>2024年度财政拨款收、</w:t>
      </w:r>
      <w:r>
        <w:rPr>
          <w:rFonts w:ascii="仿宋_GB2312" w:eastAsia="仿宋_GB2312"/>
          <w:sz w:val="28"/>
          <w:szCs w:val="28"/>
        </w:rPr>
        <w:t>支</w:t>
      </w:r>
      <w:r>
        <w:rPr>
          <w:rFonts w:hint="eastAsia" w:ascii="仿宋_GB2312" w:eastAsia="仿宋_GB2312"/>
          <w:sz w:val="28"/>
          <w:szCs w:val="28"/>
        </w:rPr>
        <w:t>总计</w:t>
      </w:r>
      <w:bookmarkStart w:id="3" w:name="OLE_LINK13"/>
      <w:r>
        <w:rPr>
          <w:rFonts w:ascii="仿宋_GB2312" w:eastAsia="仿宋_GB2312"/>
          <w:sz w:val="28"/>
          <w:szCs w:val="28"/>
        </w:rPr>
        <w:t>9068.92</w:t>
      </w:r>
      <w:bookmarkEnd w:id="3"/>
      <w:bookmarkStart w:id="4" w:name="OLE_LINK11"/>
      <w:r>
        <w:rPr>
          <w:rFonts w:hint="eastAsia" w:ascii="仿宋_GB2312" w:eastAsia="仿宋_GB2312"/>
          <w:sz w:val="28"/>
          <w:szCs w:val="28"/>
        </w:rPr>
        <w:t>万元</w:t>
      </w:r>
      <w:bookmarkEnd w:id="4"/>
      <w:r>
        <w:rPr>
          <w:rFonts w:hint="eastAsia" w:ascii="仿宋_GB2312" w:eastAsia="仿宋_GB2312"/>
          <w:sz w:val="28"/>
          <w:szCs w:val="28"/>
        </w:rPr>
        <w:t>，比上年</w:t>
      </w:r>
      <w:r>
        <w:rPr>
          <w:rFonts w:ascii="仿宋_GB2312" w:eastAsia="仿宋_GB2312"/>
          <w:sz w:val="28"/>
          <w:szCs w:val="28"/>
        </w:rPr>
        <w:t>增加</w:t>
      </w:r>
      <w:r>
        <w:rPr>
          <w:rFonts w:hint="eastAsia" w:ascii="仿宋_GB2312" w:eastAsia="仿宋_GB2312"/>
          <w:sz w:val="28"/>
          <w:szCs w:val="28"/>
        </w:rPr>
        <w:t>485.25万元，增长5.65%。主要原因：在职人数增加，人员经费增加；学生人数增加，公用经费增加，本年增加计算机房改造等项目。</w:t>
      </w:r>
    </w:p>
    <w:p>
      <w:pPr>
        <w:keepNext w:val="0"/>
        <w:keepLines w:val="0"/>
        <w:pageBreakBefore w:val="0"/>
        <w:widowControl w:val="0"/>
        <w:tabs>
          <w:tab w:val="center" w:pos="6979"/>
        </w:tabs>
        <w:kinsoku/>
        <w:wordWrap/>
        <w:overflowPunct/>
        <w:topLinePunct w:val="0"/>
        <w:bidi w:val="0"/>
        <w:snapToGrid/>
        <w:spacing w:line="560" w:lineRule="exact"/>
        <w:ind w:firstLine="548" w:firstLineChars="196"/>
        <w:textAlignment w:val="auto"/>
        <w:rPr>
          <w:rFonts w:ascii="黑体" w:eastAsia="黑体"/>
          <w:b w:val="0"/>
          <w:bCs/>
          <w:sz w:val="28"/>
          <w:szCs w:val="28"/>
        </w:rPr>
      </w:pPr>
      <w:r>
        <w:rPr>
          <w:rFonts w:hint="eastAsia" w:ascii="黑体" w:eastAsia="黑体"/>
          <w:b w:val="0"/>
          <w:bCs/>
          <w:sz w:val="28"/>
          <w:szCs w:val="28"/>
        </w:rPr>
        <w:t>四、一般公共预算财政拨款支出决算情况说明</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left"/>
        <w:textAlignment w:val="auto"/>
        <w:rPr>
          <w:rFonts w:ascii="仿宋_GB2312" w:eastAsia="仿宋_GB2312"/>
          <w:sz w:val="28"/>
          <w:szCs w:val="28"/>
        </w:rPr>
      </w:pPr>
      <w:r>
        <w:rPr>
          <w:rFonts w:hint="eastAsia" w:ascii="仿宋_GB2312" w:eastAsia="仿宋_GB2312"/>
          <w:sz w:val="28"/>
          <w:szCs w:val="28"/>
        </w:rPr>
        <w:t>（一）一般公共预算财政拨款支出决算总体情况</w:t>
      </w:r>
    </w:p>
    <w:p>
      <w:pPr>
        <w:keepNext w:val="0"/>
        <w:keepLines w:val="0"/>
        <w:pageBreakBefore w:val="0"/>
        <w:widowControl w:val="0"/>
        <w:tabs>
          <w:tab w:val="center" w:pos="6979"/>
        </w:tabs>
        <w:kinsoku/>
        <w:wordWrap/>
        <w:overflowPunct/>
        <w:topLinePunct w:val="0"/>
        <w:bidi w:val="0"/>
        <w:snapToGrid/>
        <w:spacing w:line="560" w:lineRule="exact"/>
        <w:ind w:firstLine="560" w:firstLineChars="200"/>
        <w:textAlignment w:val="auto"/>
        <w:rPr>
          <w:rFonts w:ascii="仿宋_GB2312" w:eastAsia="仿宋_GB2312"/>
          <w:sz w:val="28"/>
          <w:szCs w:val="28"/>
        </w:rPr>
      </w:pPr>
      <w:r>
        <w:rPr>
          <w:rFonts w:hint="eastAsia" w:ascii="仿宋_GB2312" w:eastAsia="仿宋_GB2312"/>
          <w:sz w:val="28"/>
          <w:szCs w:val="28"/>
        </w:rPr>
        <w:t>2024年度一般公共预算财政拨款支出</w:t>
      </w:r>
      <w:r>
        <w:rPr>
          <w:rFonts w:ascii="仿宋_GB2312" w:eastAsia="仿宋_GB2312"/>
          <w:sz w:val="28"/>
          <w:szCs w:val="28"/>
        </w:rPr>
        <w:t>8907.43</w:t>
      </w:r>
      <w:r>
        <w:rPr>
          <w:rFonts w:hint="eastAsia" w:ascii="仿宋_GB2312" w:eastAsia="仿宋_GB2312"/>
          <w:sz w:val="28"/>
          <w:szCs w:val="28"/>
        </w:rPr>
        <w:t>万元，主要用于以下方面（按大类）：</w:t>
      </w:r>
      <w:bookmarkStart w:id="5" w:name="OLE_LINK15"/>
      <w:r>
        <w:rPr>
          <w:rFonts w:hint="eastAsia" w:ascii="仿宋_GB2312" w:eastAsia="仿宋_GB2312"/>
          <w:sz w:val="28"/>
          <w:szCs w:val="28"/>
        </w:rPr>
        <w:t>教育支出</w:t>
      </w:r>
      <w:bookmarkEnd w:id="5"/>
      <w:bookmarkStart w:id="6" w:name="OLE_LINK16"/>
      <w:r>
        <w:rPr>
          <w:rFonts w:hint="eastAsia" w:ascii="仿宋_GB2312" w:eastAsia="仿宋_GB2312"/>
          <w:sz w:val="28"/>
          <w:szCs w:val="28"/>
        </w:rPr>
        <w:t>7814.14</w:t>
      </w:r>
      <w:bookmarkEnd w:id="6"/>
      <w:bookmarkStart w:id="7" w:name="OLE_LINK14"/>
      <w:r>
        <w:rPr>
          <w:rFonts w:hint="eastAsia" w:ascii="仿宋_GB2312" w:eastAsia="仿宋_GB2312"/>
          <w:sz w:val="28"/>
          <w:szCs w:val="28"/>
        </w:rPr>
        <w:t>万元，占本年财政拨款支出87.73%</w:t>
      </w:r>
      <w:bookmarkEnd w:id="7"/>
      <w:r>
        <w:rPr>
          <w:rFonts w:hint="eastAsia" w:ascii="仿宋_GB2312" w:eastAsia="仿宋_GB2312"/>
          <w:sz w:val="28"/>
          <w:szCs w:val="28"/>
        </w:rPr>
        <w:t>；社会保障和就业支出</w:t>
      </w:r>
      <w:bookmarkStart w:id="8" w:name="OLE_LINK18"/>
      <w:r>
        <w:rPr>
          <w:rFonts w:hint="eastAsia" w:ascii="仿宋_GB2312" w:eastAsia="仿宋_GB2312"/>
          <w:sz w:val="28"/>
          <w:szCs w:val="28"/>
        </w:rPr>
        <w:t>1093.29</w:t>
      </w:r>
      <w:bookmarkEnd w:id="8"/>
      <w:r>
        <w:rPr>
          <w:rFonts w:hint="eastAsia" w:ascii="仿宋_GB2312" w:eastAsia="仿宋_GB2312"/>
          <w:sz w:val="28"/>
          <w:szCs w:val="28"/>
        </w:rPr>
        <w:t>万元，占本年财政拨款支出12.27%。</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left"/>
        <w:textAlignment w:val="auto"/>
        <w:rPr>
          <w:rFonts w:ascii="仿宋_GB2312" w:eastAsia="仿宋_GB2312"/>
          <w:sz w:val="28"/>
          <w:szCs w:val="28"/>
        </w:rPr>
      </w:pPr>
      <w:r>
        <w:rPr>
          <w:rFonts w:hint="eastAsia" w:ascii="仿宋_GB2312" w:eastAsia="仿宋_GB2312"/>
          <w:sz w:val="28"/>
          <w:szCs w:val="28"/>
        </w:rPr>
        <w:t>（二）一般公共预算财政拨款支出决算具体情况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left"/>
        <w:textAlignment w:val="auto"/>
        <w:rPr>
          <w:rFonts w:ascii="仿宋_GB2312" w:eastAsia="仿宋_GB2312"/>
          <w:sz w:val="28"/>
          <w:szCs w:val="28"/>
        </w:rPr>
      </w:pPr>
      <w:r>
        <w:rPr>
          <w:rFonts w:hint="eastAsia" w:ascii="仿宋_GB2312" w:eastAsia="仿宋_GB2312"/>
          <w:sz w:val="28"/>
          <w:szCs w:val="28"/>
        </w:rPr>
        <w:t>1.</w:t>
      </w:r>
      <w:bookmarkStart w:id="9" w:name="OLE_LINK2"/>
      <w:r>
        <w:rPr>
          <w:rFonts w:hint="eastAsia" w:ascii="仿宋_GB2312" w:eastAsia="仿宋_GB2312"/>
          <w:sz w:val="28"/>
          <w:szCs w:val="28"/>
        </w:rPr>
        <w:t>“教育支出”（类）202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6870.80</w:t>
      </w:r>
      <w:r>
        <w:rPr>
          <w:rFonts w:hint="eastAsia" w:ascii="仿宋_GB2312" w:eastAsia="仿宋_GB2312"/>
          <w:sz w:val="28"/>
          <w:szCs w:val="28"/>
        </w:rPr>
        <w:t>万元</w:t>
      </w:r>
      <w:r>
        <w:rPr>
          <w:rFonts w:hint="eastAsia" w:ascii="仿宋_GB2312" w:eastAsia="仿宋_GB2312"/>
          <w:sz w:val="28"/>
          <w:szCs w:val="28"/>
          <w:lang w:eastAsia="zh-CN"/>
        </w:rPr>
        <w:t>，</w:t>
      </w:r>
      <w:r>
        <w:rPr>
          <w:rFonts w:hint="eastAsia" w:ascii="仿宋_GB2312" w:eastAsia="仿宋_GB2312"/>
          <w:sz w:val="28"/>
          <w:szCs w:val="28"/>
        </w:rPr>
        <w:t>2024年度决算</w:t>
      </w:r>
      <w:bookmarkStart w:id="10" w:name="OLE_LINK17"/>
      <w:r>
        <w:rPr>
          <w:rFonts w:hint="eastAsia" w:ascii="仿宋_GB2312" w:eastAsia="仿宋_GB2312"/>
          <w:sz w:val="28"/>
          <w:szCs w:val="28"/>
        </w:rPr>
        <w:t>7814.14</w:t>
      </w:r>
      <w:bookmarkEnd w:id="10"/>
      <w:r>
        <w:rPr>
          <w:rFonts w:hint="eastAsia" w:ascii="仿宋_GB2312" w:eastAsia="仿宋_GB2312"/>
          <w:sz w:val="28"/>
          <w:szCs w:val="28"/>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113.73</w:t>
      </w:r>
      <w:r>
        <w:rPr>
          <w:rFonts w:hint="eastAsia" w:ascii="仿宋_GB2312" w:eastAsia="仿宋_GB2312"/>
          <w:sz w:val="28"/>
          <w:szCs w:val="28"/>
        </w:rPr>
        <w:t>%</w:t>
      </w:r>
      <w:bookmarkEnd w:id="9"/>
      <w:r>
        <w:rPr>
          <w:rFonts w:hint="eastAsia" w:ascii="仿宋_GB2312" w:eastAsia="仿宋_GB2312"/>
          <w:sz w:val="28"/>
          <w:szCs w:val="28"/>
        </w:rPr>
        <w:t>。其中：</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ascii="仿宋_GB2312" w:eastAsia="仿宋_GB2312"/>
          <w:sz w:val="28"/>
          <w:szCs w:val="28"/>
        </w:rPr>
      </w:pPr>
      <w:r>
        <w:rPr>
          <w:rFonts w:hint="eastAsia" w:ascii="仿宋_GB2312" w:eastAsia="仿宋_GB2312"/>
          <w:sz w:val="28"/>
          <w:szCs w:val="28"/>
        </w:rPr>
        <w:t>“职业教育”（款，下同）202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6283.70</w:t>
      </w:r>
      <w:r>
        <w:rPr>
          <w:rFonts w:hint="eastAsia" w:ascii="仿宋_GB2312" w:eastAsia="仿宋_GB2312"/>
          <w:sz w:val="28"/>
          <w:szCs w:val="28"/>
        </w:rPr>
        <w:t>万元</w:t>
      </w:r>
      <w:r>
        <w:rPr>
          <w:rFonts w:hint="eastAsia" w:ascii="仿宋_GB2312" w:eastAsia="仿宋_GB2312"/>
          <w:sz w:val="28"/>
          <w:szCs w:val="28"/>
          <w:lang w:eastAsia="zh-CN"/>
        </w:rPr>
        <w:t>，</w:t>
      </w:r>
      <w:r>
        <w:rPr>
          <w:rFonts w:hint="eastAsia" w:ascii="仿宋_GB2312" w:eastAsia="仿宋_GB2312"/>
          <w:sz w:val="28"/>
          <w:szCs w:val="28"/>
        </w:rPr>
        <w:t>2024年度决算</w:t>
      </w:r>
      <w:r>
        <w:rPr>
          <w:rFonts w:ascii="仿宋_GB2312" w:eastAsia="仿宋_GB2312"/>
          <w:sz w:val="28"/>
          <w:szCs w:val="28"/>
        </w:rPr>
        <w:t>7318.01万元，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116.46</w:t>
      </w:r>
      <w:r>
        <w:rPr>
          <w:rFonts w:hint="eastAsia" w:ascii="仿宋_GB2312" w:eastAsia="仿宋_GB2312"/>
          <w:sz w:val="28"/>
          <w:szCs w:val="28"/>
        </w:rPr>
        <w:t>%</w:t>
      </w:r>
      <w:r>
        <w:rPr>
          <w:rFonts w:ascii="仿宋_GB2312" w:eastAsia="仿宋_GB2312"/>
          <w:sz w:val="28"/>
          <w:szCs w:val="28"/>
        </w:rPr>
        <w:t>。主要原因：追加大中专生资助资金和计算机房改造项目等。</w:t>
      </w:r>
    </w:p>
    <w:p>
      <w:pPr>
        <w:keepNext w:val="0"/>
        <w:keepLines w:val="0"/>
        <w:pageBreakBefore w:val="0"/>
        <w:widowControl w:val="0"/>
        <w:kinsoku/>
        <w:wordWrap/>
        <w:overflowPunct/>
        <w:topLinePunct w:val="0"/>
        <w:bidi w:val="0"/>
        <w:snapToGrid/>
        <w:spacing w:line="560" w:lineRule="exact"/>
        <w:ind w:firstLine="560" w:firstLineChars="200"/>
        <w:textAlignment w:val="auto"/>
      </w:pPr>
      <w:r>
        <w:rPr>
          <w:rFonts w:hint="eastAsia" w:ascii="仿宋_GB2312" w:eastAsia="仿宋_GB2312" w:cs="仿宋_GB2312"/>
          <w:sz w:val="28"/>
          <w:szCs w:val="28"/>
          <w:lang w:bidi="ar"/>
        </w:rPr>
        <w:t>“成人高等教育”（款）</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587.09</w:t>
      </w:r>
      <w:r>
        <w:rPr>
          <w:rFonts w:hint="eastAsia" w:ascii="仿宋_GB2312" w:eastAsia="仿宋_GB2312"/>
          <w:sz w:val="28"/>
          <w:szCs w:val="28"/>
        </w:rPr>
        <w:t>万元</w:t>
      </w:r>
      <w:r>
        <w:rPr>
          <w:rFonts w:hint="eastAsia" w:ascii="仿宋_GB2312" w:eastAsia="仿宋_GB2312"/>
          <w:sz w:val="28"/>
          <w:szCs w:val="28"/>
          <w:lang w:eastAsia="zh-CN"/>
        </w:rPr>
        <w:t>，</w:t>
      </w:r>
      <w:r>
        <w:rPr>
          <w:rFonts w:hint="eastAsia" w:ascii="仿宋_GB2312" w:eastAsia="仿宋_GB2312" w:cs="仿宋_GB2312"/>
          <w:sz w:val="28"/>
          <w:szCs w:val="28"/>
          <w:lang w:bidi="ar"/>
        </w:rPr>
        <w:t>2024年度决算496.12万元，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84.50</w:t>
      </w:r>
      <w:r>
        <w:rPr>
          <w:rFonts w:hint="eastAsia" w:ascii="仿宋_GB2312" w:eastAsia="仿宋_GB2312"/>
          <w:sz w:val="28"/>
          <w:szCs w:val="28"/>
        </w:rPr>
        <w:t>%</w:t>
      </w:r>
      <w:r>
        <w:rPr>
          <w:rFonts w:hint="eastAsia" w:ascii="仿宋_GB2312" w:eastAsia="仿宋_GB2312" w:cs="仿宋_GB2312"/>
          <w:sz w:val="28"/>
          <w:szCs w:val="28"/>
          <w:lang w:bidi="ar"/>
        </w:rPr>
        <w:t>。主要原因：人员经费减少。</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ascii="仿宋_GB2312" w:eastAsia="仿宋_GB2312"/>
          <w:sz w:val="28"/>
          <w:szCs w:val="28"/>
        </w:rPr>
      </w:pPr>
      <w:r>
        <w:rPr>
          <w:rFonts w:hint="eastAsia" w:ascii="仿宋_GB2312" w:eastAsia="仿宋_GB2312"/>
          <w:sz w:val="28"/>
          <w:szCs w:val="28"/>
        </w:rPr>
        <w:t>2.“社会保障和就业支出”(类)202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1062.87</w:t>
      </w:r>
      <w:r>
        <w:rPr>
          <w:rFonts w:hint="eastAsia" w:ascii="仿宋_GB2312" w:eastAsia="仿宋_GB2312"/>
          <w:sz w:val="28"/>
          <w:szCs w:val="28"/>
        </w:rPr>
        <w:t>万元</w:t>
      </w:r>
      <w:r>
        <w:rPr>
          <w:rFonts w:hint="eastAsia" w:ascii="仿宋_GB2312" w:eastAsia="仿宋_GB2312"/>
          <w:sz w:val="28"/>
          <w:szCs w:val="28"/>
          <w:lang w:eastAsia="zh-CN"/>
        </w:rPr>
        <w:t>，</w:t>
      </w:r>
      <w:r>
        <w:rPr>
          <w:rFonts w:hint="eastAsia" w:ascii="仿宋_GB2312" w:eastAsia="仿宋_GB2312"/>
          <w:sz w:val="28"/>
          <w:szCs w:val="28"/>
        </w:rPr>
        <w:t>2024年度决算</w:t>
      </w:r>
      <w:bookmarkStart w:id="11" w:name="OLE_LINK19"/>
      <w:r>
        <w:rPr>
          <w:rFonts w:hint="eastAsia" w:ascii="仿宋_GB2312" w:eastAsia="仿宋_GB2312"/>
          <w:sz w:val="28"/>
          <w:szCs w:val="28"/>
        </w:rPr>
        <w:t>1093.29</w:t>
      </w:r>
      <w:bookmarkEnd w:id="11"/>
      <w:r>
        <w:rPr>
          <w:rFonts w:hint="eastAsia" w:ascii="仿宋_GB2312" w:eastAsia="仿宋_GB2312"/>
          <w:sz w:val="28"/>
          <w:szCs w:val="28"/>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102.86%</w:t>
      </w:r>
      <w:r>
        <w:rPr>
          <w:rFonts w:hint="eastAsia" w:ascii="仿宋_GB2312" w:eastAsia="仿宋_GB2312"/>
          <w:sz w:val="28"/>
          <w:szCs w:val="28"/>
        </w:rPr>
        <w:t>。其中：</w:t>
      </w:r>
    </w:p>
    <w:p>
      <w:pPr>
        <w:keepNext w:val="0"/>
        <w:keepLines w:val="0"/>
        <w:pageBreakBefore w:val="0"/>
        <w:widowControl w:val="0"/>
        <w:kinsoku/>
        <w:wordWrap/>
        <w:overflowPunct/>
        <w:topLinePunct w:val="0"/>
        <w:bidi w:val="0"/>
        <w:snapToGrid/>
        <w:spacing w:line="560" w:lineRule="exact"/>
        <w:ind w:firstLine="560" w:firstLineChars="200"/>
        <w:textAlignment w:val="auto"/>
      </w:pPr>
      <w:r>
        <w:rPr>
          <w:rFonts w:hint="eastAsia" w:ascii="仿宋_GB2312" w:eastAsia="仿宋_GB2312"/>
          <w:sz w:val="28"/>
          <w:szCs w:val="28"/>
        </w:rPr>
        <w:t>“行政事业单位养老支出”（款）202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1062.87</w:t>
      </w:r>
      <w:r>
        <w:rPr>
          <w:rFonts w:hint="eastAsia" w:ascii="仿宋_GB2312" w:eastAsia="仿宋_GB2312"/>
          <w:sz w:val="28"/>
          <w:szCs w:val="28"/>
        </w:rPr>
        <w:t>万元</w:t>
      </w:r>
      <w:r>
        <w:rPr>
          <w:rFonts w:hint="eastAsia" w:ascii="仿宋_GB2312" w:eastAsia="仿宋_GB2312"/>
          <w:sz w:val="28"/>
          <w:szCs w:val="28"/>
          <w:lang w:eastAsia="zh-CN"/>
        </w:rPr>
        <w:t>，</w:t>
      </w:r>
      <w:r>
        <w:rPr>
          <w:rFonts w:hint="eastAsia" w:ascii="仿宋_GB2312" w:eastAsia="仿宋_GB2312"/>
          <w:sz w:val="28"/>
          <w:szCs w:val="28"/>
        </w:rPr>
        <w:t>2024年度决算1093.29万元，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102.86%</w:t>
      </w:r>
      <w:r>
        <w:rPr>
          <w:rFonts w:hint="eastAsia" w:ascii="仿宋_GB2312" w:eastAsia="仿宋_GB2312"/>
          <w:sz w:val="28"/>
          <w:szCs w:val="28"/>
        </w:rPr>
        <w:t>。主要原因：</w:t>
      </w:r>
      <w:r>
        <w:rPr>
          <w:rFonts w:ascii="仿宋_GB2312" w:eastAsia="仿宋_GB2312" w:cs="仿宋_GB2312"/>
          <w:sz w:val="28"/>
          <w:szCs w:val="28"/>
          <w:lang w:bidi="ar"/>
        </w:rPr>
        <w:t>退休人员增加。</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ascii="仿宋_GB2312" w:eastAsia="仿宋_GB2312"/>
          <w:b w:val="0"/>
          <w:bCs/>
          <w:sz w:val="28"/>
          <w:szCs w:val="28"/>
        </w:rPr>
      </w:pPr>
      <w:r>
        <w:rPr>
          <w:rFonts w:hint="eastAsia" w:ascii="黑体" w:eastAsia="黑体"/>
          <w:b w:val="0"/>
          <w:bCs/>
          <w:sz w:val="28"/>
          <w:szCs w:val="28"/>
        </w:rPr>
        <w:t>五、政府性基金预算财政拨款支出决算情况说明</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ascii="仿宋_GB2312" w:eastAsia="仿宋_GB2312"/>
          <w:sz w:val="28"/>
          <w:szCs w:val="28"/>
        </w:rPr>
      </w:pPr>
      <w:r>
        <w:rPr>
          <w:rFonts w:hint="eastAsia" w:ascii="仿宋_GB2312" w:eastAsia="仿宋_GB2312"/>
          <w:sz w:val="28"/>
          <w:szCs w:val="28"/>
        </w:rPr>
        <w:t>2024年度政府性基金预算财政拨款支出</w:t>
      </w:r>
      <w:r>
        <w:rPr>
          <w:rFonts w:ascii="仿宋_GB2312" w:eastAsia="仿宋_GB2312"/>
          <w:sz w:val="28"/>
          <w:szCs w:val="28"/>
        </w:rPr>
        <w:t>0</w:t>
      </w:r>
      <w:r>
        <w:rPr>
          <w:rFonts w:hint="eastAsia" w:ascii="仿宋_GB2312" w:eastAsia="仿宋_GB2312"/>
          <w:sz w:val="28"/>
          <w:szCs w:val="28"/>
        </w:rPr>
        <w:t>万元。</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ascii="黑体" w:eastAsia="黑体"/>
          <w:b w:val="0"/>
          <w:bCs/>
          <w:sz w:val="28"/>
          <w:szCs w:val="28"/>
        </w:rPr>
      </w:pPr>
      <w:r>
        <w:rPr>
          <w:rFonts w:hint="eastAsia" w:ascii="黑体" w:eastAsia="黑体"/>
          <w:b w:val="0"/>
          <w:bCs/>
          <w:sz w:val="28"/>
          <w:szCs w:val="28"/>
        </w:rPr>
        <w:t>六、国有资本经营预算财</w:t>
      </w:r>
      <w:r>
        <w:rPr>
          <w:rFonts w:ascii="黑体" w:eastAsia="黑体"/>
          <w:b w:val="0"/>
          <w:bCs/>
          <w:sz w:val="28"/>
          <w:szCs w:val="28"/>
        </w:rPr>
        <w:t>政拨款</w:t>
      </w:r>
      <w:r>
        <w:rPr>
          <w:rFonts w:hint="eastAsia" w:ascii="黑体" w:eastAsia="黑体"/>
          <w:b w:val="0"/>
          <w:bCs/>
          <w:sz w:val="28"/>
          <w:szCs w:val="28"/>
        </w:rPr>
        <w:t>收支情况</w:t>
      </w:r>
    </w:p>
    <w:p>
      <w:pPr>
        <w:keepNext w:val="0"/>
        <w:keepLines w:val="0"/>
        <w:pageBreakBefore w:val="0"/>
        <w:widowControl w:val="0"/>
        <w:kinsoku/>
        <w:wordWrap/>
        <w:overflowPunct/>
        <w:topLinePunct w:val="0"/>
        <w:bidi w:val="0"/>
        <w:snapToGrid/>
        <w:spacing w:line="560" w:lineRule="exact"/>
        <w:ind w:firstLine="537" w:firstLineChars="192"/>
        <w:textAlignment w:val="auto"/>
        <w:rPr>
          <w:rFonts w:ascii="仿宋_GB2312" w:eastAsia="仿宋_GB2312"/>
          <w:sz w:val="28"/>
          <w:szCs w:val="28"/>
        </w:rPr>
      </w:pPr>
      <w:r>
        <w:rPr>
          <w:rFonts w:hint="eastAsia" w:ascii="仿宋_GB2312" w:eastAsia="仿宋_GB2312"/>
          <w:sz w:val="28"/>
          <w:szCs w:val="28"/>
        </w:rPr>
        <w:t>2024年度国有资本经营预算财政</w:t>
      </w:r>
      <w:r>
        <w:rPr>
          <w:rFonts w:ascii="仿宋_GB2312" w:eastAsia="仿宋_GB2312"/>
          <w:sz w:val="28"/>
          <w:szCs w:val="28"/>
        </w:rPr>
        <w:t>拨款</w:t>
      </w:r>
      <w:r>
        <w:rPr>
          <w:rFonts w:hint="eastAsia" w:ascii="仿宋_GB2312" w:eastAsia="仿宋_GB2312"/>
          <w:sz w:val="28"/>
          <w:szCs w:val="28"/>
        </w:rPr>
        <w:t>收入总</w:t>
      </w:r>
      <w:r>
        <w:rPr>
          <w:rFonts w:ascii="仿宋_GB2312" w:eastAsia="仿宋_GB2312"/>
          <w:sz w:val="28"/>
          <w:szCs w:val="28"/>
        </w:rPr>
        <w:t>计0</w:t>
      </w:r>
      <w:r>
        <w:rPr>
          <w:rFonts w:hint="eastAsia" w:ascii="仿宋_GB2312" w:eastAsia="仿宋_GB2312"/>
          <w:sz w:val="28"/>
          <w:szCs w:val="28"/>
        </w:rPr>
        <w:t>万元，国有资本经营预算财政</w:t>
      </w:r>
      <w:r>
        <w:rPr>
          <w:rFonts w:ascii="仿宋_GB2312" w:eastAsia="仿宋_GB2312"/>
          <w:sz w:val="28"/>
          <w:szCs w:val="28"/>
        </w:rPr>
        <w:t>拨款</w:t>
      </w:r>
      <w:r>
        <w:rPr>
          <w:rFonts w:hint="eastAsia" w:ascii="仿宋_GB2312" w:eastAsia="仿宋_GB2312"/>
          <w:sz w:val="28"/>
          <w:szCs w:val="28"/>
        </w:rPr>
        <w:t>支出总</w:t>
      </w:r>
      <w:r>
        <w:rPr>
          <w:rFonts w:ascii="仿宋_GB2312" w:eastAsia="仿宋_GB2312"/>
          <w:sz w:val="28"/>
          <w:szCs w:val="28"/>
        </w:rPr>
        <w:t>计0</w:t>
      </w:r>
      <w:r>
        <w:rPr>
          <w:rFonts w:hint="eastAsia" w:ascii="仿宋_GB2312" w:eastAsia="仿宋_GB2312"/>
          <w:sz w:val="28"/>
          <w:szCs w:val="28"/>
        </w:rPr>
        <w:t>万元。</w:t>
      </w:r>
    </w:p>
    <w:p>
      <w:pPr>
        <w:keepNext w:val="0"/>
        <w:keepLines w:val="0"/>
        <w:pageBreakBefore w:val="0"/>
        <w:widowControl w:val="0"/>
        <w:kinsoku/>
        <w:wordWrap/>
        <w:overflowPunct/>
        <w:topLinePunct w:val="0"/>
        <w:bidi w:val="0"/>
        <w:snapToGrid/>
        <w:spacing w:line="560" w:lineRule="exact"/>
        <w:ind w:firstLine="548" w:firstLineChars="196"/>
        <w:textAlignment w:val="auto"/>
        <w:rPr>
          <w:rFonts w:ascii="黑体" w:eastAsia="黑体"/>
          <w:b w:val="0"/>
          <w:bCs/>
          <w:sz w:val="28"/>
          <w:szCs w:val="28"/>
        </w:rPr>
      </w:pPr>
      <w:r>
        <w:rPr>
          <w:rFonts w:hint="eastAsia" w:ascii="黑体" w:eastAsia="黑体"/>
          <w:b w:val="0"/>
          <w:bCs/>
          <w:sz w:val="28"/>
          <w:szCs w:val="28"/>
        </w:rPr>
        <w:t>七、财政拨款基本支出决算情况说明</w:t>
      </w:r>
    </w:p>
    <w:p>
      <w:pPr>
        <w:keepNext w:val="0"/>
        <w:keepLines w:val="0"/>
        <w:pageBreakBefore w:val="0"/>
        <w:widowControl w:val="0"/>
        <w:tabs>
          <w:tab w:val="center" w:pos="6979"/>
        </w:tabs>
        <w:kinsoku/>
        <w:wordWrap/>
        <w:overflowPunct/>
        <w:topLinePunct w:val="0"/>
        <w:bidi w:val="0"/>
        <w:snapToGrid/>
        <w:spacing w:line="560" w:lineRule="exact"/>
        <w:ind w:firstLine="548" w:firstLineChars="196"/>
        <w:textAlignment w:val="auto"/>
        <w:rPr>
          <w:rFonts w:ascii="黑体" w:eastAsia="黑体"/>
          <w:b/>
          <w:sz w:val="28"/>
          <w:szCs w:val="28"/>
        </w:rPr>
      </w:pPr>
      <w:r>
        <w:rPr>
          <w:rFonts w:hint="eastAsia" w:ascii="仿宋_GB2312" w:eastAsia="仿宋_GB2312"/>
          <w:sz w:val="28"/>
          <w:szCs w:val="28"/>
        </w:rPr>
        <w:t>2024年度使用一般公共预算财政拨款安排基本支出出</w:t>
      </w:r>
      <w:r>
        <w:rPr>
          <w:rFonts w:ascii="仿宋_GB2312" w:eastAsia="仿宋_GB2312"/>
          <w:sz w:val="28"/>
          <w:szCs w:val="28"/>
        </w:rPr>
        <w:t>8190.37</w:t>
      </w:r>
      <w:r>
        <w:rPr>
          <w:rFonts w:hint="eastAsia" w:ascii="仿宋_GB2312" w:eastAsia="仿宋_GB2312"/>
          <w:sz w:val="28"/>
          <w:szCs w:val="28"/>
        </w:rPr>
        <w:t>万元，使用政府性基金财政拨款安排基本支出</w:t>
      </w:r>
      <w:r>
        <w:rPr>
          <w:rFonts w:ascii="仿宋_GB2312" w:eastAsia="仿宋_GB2312"/>
          <w:sz w:val="28"/>
          <w:szCs w:val="28"/>
        </w:rPr>
        <w:t>0</w:t>
      </w:r>
      <w:r>
        <w:rPr>
          <w:rFonts w:hint="eastAsia" w:ascii="仿宋_GB2312" w:eastAsia="仿宋_GB2312"/>
          <w:sz w:val="28"/>
          <w:szCs w:val="28"/>
        </w:rPr>
        <w:t>万元，其中：（1）工资福利支出包括基本工资</w:t>
      </w:r>
      <w:r>
        <w:rPr>
          <w:rFonts w:ascii="仿宋_GB2312" w:eastAsia="仿宋_GB2312"/>
          <w:sz w:val="28"/>
          <w:szCs w:val="28"/>
        </w:rPr>
        <w:t>、津贴补贴、奖金、伙食补助费、绩效工资、</w:t>
      </w:r>
      <w:r>
        <w:rPr>
          <w:rFonts w:hint="eastAsia" w:ascii="仿宋_GB2312" w:eastAsia="仿宋_GB2312"/>
          <w:sz w:val="28"/>
          <w:szCs w:val="28"/>
        </w:rPr>
        <w:t>其他</w:t>
      </w:r>
      <w:r>
        <w:rPr>
          <w:rFonts w:ascii="仿宋_GB2312" w:eastAsia="仿宋_GB2312"/>
          <w:sz w:val="28"/>
          <w:szCs w:val="28"/>
        </w:rPr>
        <w:t>社会保障缴费、其他工资福利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；（2）商品和服务支出包括</w:t>
      </w:r>
      <w:r>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；（3）对个人和家庭补助支出包括</w:t>
      </w:r>
      <w:r>
        <w:rPr>
          <w:rFonts w:ascii="仿宋_GB2312" w:eastAsia="仿宋_GB2312"/>
          <w:sz w:val="28"/>
          <w:szCs w:val="28"/>
        </w:rPr>
        <w:t>离休费、退休费、抚恤金、生活补助、</w:t>
      </w:r>
      <w:r>
        <w:rPr>
          <w:rFonts w:hint="eastAsia" w:ascii="仿宋_GB2312" w:eastAsia="仿宋_GB2312"/>
          <w:sz w:val="28"/>
          <w:szCs w:val="28"/>
        </w:rPr>
        <w:t>救济费</w:t>
      </w:r>
      <w:r>
        <w:rPr>
          <w:rFonts w:ascii="仿宋_GB2312" w:eastAsia="仿宋_GB2312"/>
          <w:sz w:val="28"/>
          <w:szCs w:val="28"/>
        </w:rPr>
        <w:t>、医疗费</w:t>
      </w:r>
      <w:r>
        <w:rPr>
          <w:rFonts w:hint="eastAsia" w:ascii="仿宋_GB2312" w:eastAsia="仿宋_GB2312"/>
          <w:sz w:val="28"/>
          <w:szCs w:val="28"/>
        </w:rPr>
        <w:t>补助</w:t>
      </w:r>
      <w:r>
        <w:rPr>
          <w:rFonts w:ascii="仿宋_GB2312" w:eastAsia="仿宋_GB2312"/>
          <w:sz w:val="28"/>
          <w:szCs w:val="28"/>
        </w:rPr>
        <w:t>、助学金、奖励金</w:t>
      </w:r>
      <w:r>
        <w:rPr>
          <w:rFonts w:hint="eastAsia" w:ascii="仿宋_GB2312" w:eastAsia="仿宋_GB2312"/>
          <w:sz w:val="28"/>
          <w:szCs w:val="28"/>
        </w:rPr>
        <w:t>、</w:t>
      </w:r>
      <w:r>
        <w:rPr>
          <w:rFonts w:ascii="仿宋_GB2312" w:eastAsia="仿宋_GB2312"/>
          <w:sz w:val="28"/>
          <w:szCs w:val="28"/>
        </w:rPr>
        <w:t>其他对个人和家庭的补助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。（4）其他资本性支出包括</w:t>
      </w:r>
      <w:r>
        <w:rPr>
          <w:rFonts w:ascii="仿宋_GB2312" w:eastAsia="仿宋_GB2312"/>
          <w:sz w:val="28"/>
          <w:szCs w:val="28"/>
        </w:rPr>
        <w:t>办公设备购置、专用设备购置</w:t>
      </w:r>
      <w:r>
        <w:rPr>
          <w:rFonts w:hint="eastAsia" w:ascii="仿宋_GB2312" w:eastAsia="仿宋_GB2312"/>
          <w:sz w:val="28"/>
          <w:szCs w:val="28"/>
        </w:rPr>
        <w:t>等</w:t>
      </w:r>
      <w:r>
        <w:rPr>
          <w:rFonts w:ascii="仿宋_GB2312" w:eastAsia="仿宋_GB2312"/>
          <w:sz w:val="28"/>
          <w:szCs w:val="28"/>
        </w:rPr>
        <w:t>。</w:t>
      </w:r>
    </w:p>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ascii="宋体" w:hAnsi="宋体" w:cs="宋体"/>
          <w:b/>
          <w:spacing w:val="40"/>
          <w:kern w:val="0"/>
          <w:sz w:val="32"/>
          <w:szCs w:val="32"/>
        </w:rPr>
      </w:pPr>
      <w:r>
        <w:rPr>
          <w:rFonts w:ascii="仿宋_GB2312" w:eastAsia="仿宋_GB2312"/>
          <w:sz w:val="28"/>
          <w:szCs w:val="28"/>
        </w:rPr>
        <w:br w:type="page"/>
      </w:r>
      <w:r>
        <w:rPr>
          <w:rFonts w:hint="eastAsia" w:ascii="宋体" w:hAnsi="宋体" w:cs="宋体"/>
          <w:b/>
          <w:bCs/>
          <w:spacing w:val="40"/>
          <w:kern w:val="0"/>
          <w:sz w:val="32"/>
          <w:szCs w:val="32"/>
        </w:rPr>
        <w:t>第三部分</w:t>
      </w:r>
      <w:r>
        <w:rPr>
          <w:rFonts w:hint="eastAsia" w:ascii="宋体" w:hAnsi="宋体"/>
          <w:b/>
          <w:spacing w:val="40"/>
          <w:sz w:val="32"/>
          <w:szCs w:val="32"/>
        </w:rPr>
        <w:t>2024年度</w:t>
      </w:r>
      <w:r>
        <w:rPr>
          <w:rFonts w:hint="eastAsia" w:ascii="宋体" w:hAnsi="宋体" w:cs="宋体"/>
          <w:b/>
          <w:spacing w:val="40"/>
          <w:kern w:val="0"/>
          <w:sz w:val="32"/>
          <w:szCs w:val="32"/>
        </w:rPr>
        <w:t>其他重要事项的情况说明</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ascii="黑体" w:eastAsia="黑体"/>
          <w:sz w:val="28"/>
          <w:szCs w:val="28"/>
        </w:rPr>
      </w:pPr>
      <w:r>
        <w:rPr>
          <w:rFonts w:hint="eastAsia" w:ascii="黑体" w:eastAsia="黑体"/>
          <w:sz w:val="28"/>
          <w:szCs w:val="28"/>
        </w:rPr>
        <w:t>一、“三公”经费财政拨款决算情况</w:t>
      </w:r>
    </w:p>
    <w:p>
      <w:pPr>
        <w:keepNext w:val="0"/>
        <w:keepLines w:val="0"/>
        <w:pageBreakBefore w:val="0"/>
        <w:widowControl w:val="0"/>
        <w:kinsoku/>
        <w:wordWrap/>
        <w:overflowPunct/>
        <w:topLinePunct w:val="0"/>
        <w:bidi w:val="0"/>
        <w:snapToGrid/>
        <w:spacing w:line="560" w:lineRule="exact"/>
        <w:ind w:firstLine="600"/>
        <w:textAlignment w:val="auto"/>
        <w:rPr>
          <w:rFonts w:ascii="仿宋_GB2312" w:eastAsia="仿宋_GB2312"/>
          <w:sz w:val="28"/>
          <w:szCs w:val="28"/>
        </w:rPr>
      </w:pPr>
      <w:r>
        <w:rPr>
          <w:rFonts w:hint="eastAsia" w:ascii="仿宋_GB2312" w:eastAsia="仿宋_GB2312"/>
          <w:sz w:val="28"/>
          <w:szCs w:val="28"/>
        </w:rPr>
        <w:t>“三公”经费包括本部门所属</w:t>
      </w:r>
      <w:r>
        <w:rPr>
          <w:rFonts w:hint="eastAsia" w:ascii="仿宋_GB2312" w:eastAsia="仿宋_GB2312"/>
          <w:bCs/>
          <w:sz w:val="28"/>
          <w:szCs w:val="28"/>
        </w:rPr>
        <w:t>2</w:t>
      </w:r>
      <w:r>
        <w:rPr>
          <w:rFonts w:hint="eastAsia" w:ascii="仿宋_GB2312" w:eastAsia="仿宋_GB2312"/>
          <w:sz w:val="28"/>
          <w:szCs w:val="28"/>
        </w:rPr>
        <w:t>个事业单位。2024年度“三公”经费财政拨款决算数</w:t>
      </w:r>
      <w:r>
        <w:rPr>
          <w:rFonts w:ascii="仿宋_GB2312" w:eastAsia="仿宋_GB2312"/>
          <w:sz w:val="28"/>
          <w:szCs w:val="28"/>
        </w:rPr>
        <w:t>12.71</w:t>
      </w:r>
      <w:r>
        <w:rPr>
          <w:rFonts w:hint="eastAsia" w:ascii="仿宋_GB2312" w:eastAsia="仿宋_GB2312"/>
          <w:sz w:val="28"/>
          <w:szCs w:val="28"/>
        </w:rPr>
        <w:t>万元，比2024年度“三公”经费财政拨款年初预算</w:t>
      </w:r>
      <w:r>
        <w:rPr>
          <w:rFonts w:ascii="仿宋_GB2312" w:eastAsia="仿宋_GB2312"/>
          <w:sz w:val="28"/>
          <w:szCs w:val="28"/>
        </w:rPr>
        <w:t>23.31</w:t>
      </w:r>
      <w:r>
        <w:rPr>
          <w:rFonts w:hint="eastAsia" w:ascii="仿宋_GB2312" w:eastAsia="仿宋_GB2312"/>
          <w:sz w:val="28"/>
          <w:szCs w:val="28"/>
        </w:rPr>
        <w:t>万元减少</w:t>
      </w:r>
      <w:r>
        <w:rPr>
          <w:rFonts w:ascii="仿宋_GB2312" w:eastAsia="仿宋_GB2312"/>
          <w:sz w:val="28"/>
          <w:szCs w:val="28"/>
        </w:rPr>
        <w:t>10.59</w:t>
      </w:r>
      <w:r>
        <w:rPr>
          <w:rFonts w:hint="eastAsia" w:ascii="仿宋_GB2312" w:eastAsia="仿宋_GB2312"/>
          <w:sz w:val="28"/>
          <w:szCs w:val="28"/>
        </w:rPr>
        <w:t>万元。其中：</w:t>
      </w:r>
    </w:p>
    <w:p>
      <w:pPr>
        <w:keepNext w:val="0"/>
        <w:keepLines w:val="0"/>
        <w:pageBreakBefore w:val="0"/>
        <w:widowControl w:val="0"/>
        <w:kinsoku/>
        <w:wordWrap/>
        <w:overflowPunct/>
        <w:topLinePunct w:val="0"/>
        <w:bidi w:val="0"/>
        <w:snapToGrid/>
        <w:spacing w:line="560" w:lineRule="exact"/>
        <w:ind w:firstLine="600"/>
        <w:textAlignment w:val="auto"/>
        <w:rPr>
          <w:rFonts w:ascii="仿宋_GB2312" w:eastAsia="仿宋_GB2312"/>
          <w:sz w:val="28"/>
          <w:szCs w:val="28"/>
        </w:rPr>
      </w:pPr>
      <w:r>
        <w:rPr>
          <w:rFonts w:hint="eastAsia" w:ascii="仿宋_GB2312" w:eastAsia="仿宋_GB2312"/>
          <w:sz w:val="28"/>
          <w:szCs w:val="28"/>
        </w:rPr>
        <w:t>1.因公出国（境）费用。2024年度决算数</w:t>
      </w:r>
      <w:r>
        <w:rPr>
          <w:rFonts w:ascii="仿宋_GB2312" w:eastAsia="仿宋_GB2312"/>
          <w:sz w:val="28"/>
          <w:szCs w:val="28"/>
        </w:rPr>
        <w:t>0</w:t>
      </w:r>
      <w:r>
        <w:rPr>
          <w:rFonts w:hint="eastAsia" w:ascii="仿宋_GB2312" w:eastAsia="仿宋_GB2312"/>
          <w:sz w:val="28"/>
          <w:szCs w:val="28"/>
        </w:rPr>
        <w:t>万元，比2024年度年初预算数</w:t>
      </w:r>
      <w:r>
        <w:rPr>
          <w:rFonts w:ascii="仿宋_GB2312" w:eastAsia="仿宋_GB2312"/>
          <w:sz w:val="28"/>
          <w:szCs w:val="28"/>
        </w:rPr>
        <w:t>0</w:t>
      </w:r>
      <w:r>
        <w:rPr>
          <w:rFonts w:hint="eastAsia" w:ascii="仿宋_GB2312" w:eastAsia="仿宋_GB2312"/>
          <w:sz w:val="28"/>
          <w:szCs w:val="28"/>
        </w:rPr>
        <w:t>万元增加</w:t>
      </w:r>
      <w:r>
        <w:rPr>
          <w:rFonts w:ascii="仿宋_GB2312" w:eastAsia="仿宋_GB2312"/>
          <w:sz w:val="28"/>
          <w:szCs w:val="28"/>
        </w:rPr>
        <w:t>0</w:t>
      </w:r>
      <w:r>
        <w:rPr>
          <w:rFonts w:hint="eastAsia" w:ascii="仿宋_GB2312" w:eastAsia="仿宋_GB2312"/>
          <w:sz w:val="28"/>
          <w:szCs w:val="28"/>
        </w:rPr>
        <w:t>万元。</w:t>
      </w:r>
    </w:p>
    <w:p>
      <w:pPr>
        <w:keepNext w:val="0"/>
        <w:keepLines w:val="0"/>
        <w:pageBreakBefore w:val="0"/>
        <w:widowControl w:val="0"/>
        <w:kinsoku/>
        <w:wordWrap/>
        <w:overflowPunct/>
        <w:topLinePunct w:val="0"/>
        <w:bidi w:val="0"/>
        <w:snapToGrid/>
        <w:spacing w:line="560" w:lineRule="exact"/>
        <w:ind w:firstLine="600"/>
        <w:textAlignment w:val="auto"/>
        <w:rPr>
          <w:rFonts w:ascii="仿宋_GB2312" w:eastAsia="仿宋_GB2312"/>
          <w:sz w:val="28"/>
          <w:szCs w:val="28"/>
        </w:rPr>
      </w:pPr>
      <w:r>
        <w:rPr>
          <w:rFonts w:hint="eastAsia" w:ascii="仿宋_GB2312" w:eastAsia="仿宋_GB2312"/>
          <w:sz w:val="28"/>
          <w:szCs w:val="28"/>
        </w:rPr>
        <w:t>2.公务接待费。2024年度决算数</w:t>
      </w:r>
      <w:r>
        <w:rPr>
          <w:rFonts w:ascii="仿宋_GB2312" w:eastAsia="仿宋_GB2312"/>
          <w:sz w:val="28"/>
          <w:szCs w:val="28"/>
        </w:rPr>
        <w:t>0</w:t>
      </w:r>
      <w:r>
        <w:rPr>
          <w:rFonts w:hint="eastAsia" w:ascii="仿宋_GB2312" w:eastAsia="仿宋_GB2312"/>
          <w:sz w:val="28"/>
          <w:szCs w:val="28"/>
        </w:rPr>
        <w:t>万元，比2024年度年初预算数</w:t>
      </w:r>
      <w:r>
        <w:rPr>
          <w:rFonts w:ascii="仿宋_GB2312" w:eastAsia="仿宋_GB2312"/>
          <w:sz w:val="28"/>
          <w:szCs w:val="28"/>
        </w:rPr>
        <w:t>7.71</w:t>
      </w:r>
      <w:r>
        <w:rPr>
          <w:rFonts w:hint="eastAsia" w:ascii="仿宋_GB2312" w:eastAsia="仿宋_GB2312"/>
          <w:sz w:val="28"/>
          <w:szCs w:val="28"/>
        </w:rPr>
        <w:t>万元减少</w:t>
      </w:r>
      <w:r>
        <w:rPr>
          <w:rFonts w:ascii="仿宋_GB2312" w:eastAsia="仿宋_GB2312"/>
          <w:sz w:val="28"/>
          <w:szCs w:val="28"/>
        </w:rPr>
        <w:t>7.71</w:t>
      </w:r>
      <w:r>
        <w:rPr>
          <w:rFonts w:hint="eastAsia" w:ascii="仿宋_GB2312" w:eastAsia="仿宋_GB2312"/>
          <w:sz w:val="28"/>
          <w:szCs w:val="28"/>
        </w:rPr>
        <w:t>万元</w:t>
      </w:r>
      <w:r>
        <w:rPr>
          <w:rFonts w:hint="eastAsia" w:ascii="仿宋_GB2312" w:eastAsia="仿宋_GB2312"/>
          <w:sz w:val="28"/>
          <w:szCs w:val="28"/>
          <w:lang w:eastAsia="zh-CN"/>
        </w:rPr>
        <w:t>，</w:t>
      </w:r>
      <w:bookmarkStart w:id="12" w:name="_GoBack"/>
      <w:bookmarkEnd w:id="12"/>
      <w:r>
        <w:rPr>
          <w:rFonts w:hint="eastAsia" w:ascii="仿宋_GB2312" w:eastAsia="仿宋_GB2312"/>
          <w:sz w:val="28"/>
          <w:szCs w:val="28"/>
        </w:rPr>
        <w:t>主要原因</w:t>
      </w:r>
      <w:r>
        <w:rPr>
          <w:rFonts w:hint="eastAsia" w:ascii="仿宋_GB2312" w:eastAsia="仿宋_GB2312"/>
          <w:sz w:val="28"/>
          <w:szCs w:val="28"/>
          <w:lang w:eastAsia="zh-CN"/>
        </w:rPr>
        <w:t>：我单位无此项支出</w:t>
      </w:r>
      <w:r>
        <w:rPr>
          <w:rFonts w:hint="eastAsia" w:ascii="仿宋_GB2312" w:eastAsia="仿宋_GB2312"/>
          <w:sz w:val="28"/>
          <w:szCs w:val="28"/>
        </w:rPr>
        <w:t>。</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ascii="仿宋_GB2312" w:eastAsia="仿宋_GB2312"/>
          <w:sz w:val="28"/>
          <w:szCs w:val="28"/>
        </w:rPr>
      </w:pPr>
      <w:r>
        <w:rPr>
          <w:rFonts w:hint="eastAsia" w:ascii="仿宋_GB2312" w:eastAsia="仿宋_GB2312"/>
          <w:sz w:val="28"/>
          <w:szCs w:val="28"/>
        </w:rPr>
        <w:t>3.公务用车购置及运行维护费。2024年度决算数</w:t>
      </w:r>
      <w:r>
        <w:rPr>
          <w:rFonts w:ascii="仿宋_GB2312" w:eastAsia="仿宋_GB2312"/>
          <w:sz w:val="28"/>
          <w:szCs w:val="28"/>
        </w:rPr>
        <w:t>12.71</w:t>
      </w:r>
      <w:r>
        <w:rPr>
          <w:rFonts w:hint="eastAsia" w:ascii="仿宋_GB2312" w:eastAsia="仿宋_GB2312"/>
          <w:sz w:val="28"/>
          <w:szCs w:val="28"/>
        </w:rPr>
        <w:t>万元，比2024年度年初预算数</w:t>
      </w:r>
      <w:r>
        <w:rPr>
          <w:rFonts w:ascii="仿宋_GB2312" w:eastAsia="仿宋_GB2312"/>
          <w:sz w:val="28"/>
          <w:szCs w:val="28"/>
        </w:rPr>
        <w:t>15.6</w:t>
      </w:r>
      <w:r>
        <w:rPr>
          <w:rFonts w:hint="eastAsia" w:ascii="仿宋_GB2312" w:eastAsia="仿宋_GB2312"/>
          <w:sz w:val="28"/>
          <w:szCs w:val="28"/>
        </w:rPr>
        <w:t>万元减少</w:t>
      </w:r>
      <w:r>
        <w:rPr>
          <w:rFonts w:ascii="仿宋_GB2312" w:eastAsia="仿宋_GB2312"/>
          <w:sz w:val="28"/>
          <w:szCs w:val="28"/>
        </w:rPr>
        <w:t>2.89</w:t>
      </w:r>
      <w:r>
        <w:rPr>
          <w:rFonts w:hint="eastAsia" w:ascii="仿宋_GB2312" w:eastAsia="仿宋_GB2312"/>
          <w:sz w:val="28"/>
          <w:szCs w:val="28"/>
        </w:rPr>
        <w:t>万元。其中，公务用车购置费2024年度决算数0万元。公务用车运行维护费2024年度决算数12.71万元，主要原因：压缩公车费用支出。2024年度公务用车保有量</w:t>
      </w:r>
      <w:r>
        <w:rPr>
          <w:rFonts w:ascii="仿宋_GB2312" w:eastAsia="仿宋_GB2312"/>
          <w:sz w:val="28"/>
          <w:szCs w:val="28"/>
        </w:rPr>
        <w:t>5</w:t>
      </w:r>
      <w:r>
        <w:rPr>
          <w:rFonts w:hint="eastAsia" w:ascii="仿宋_GB2312" w:eastAsia="仿宋_GB2312"/>
          <w:sz w:val="28"/>
          <w:szCs w:val="28"/>
        </w:rPr>
        <w:t>辆。</w:t>
      </w:r>
    </w:p>
    <w:p>
      <w:pPr>
        <w:keepNext w:val="0"/>
        <w:keepLines w:val="0"/>
        <w:pageBreakBefore w:val="0"/>
        <w:widowControl w:val="0"/>
        <w:tabs>
          <w:tab w:val="center" w:pos="6979"/>
        </w:tabs>
        <w:kinsoku/>
        <w:wordWrap/>
        <w:overflowPunct/>
        <w:topLinePunct w:val="0"/>
        <w:bidi w:val="0"/>
        <w:snapToGrid/>
        <w:spacing w:line="560" w:lineRule="exact"/>
        <w:ind w:firstLine="554" w:firstLineChars="198"/>
        <w:textAlignment w:val="auto"/>
        <w:rPr>
          <w:rFonts w:ascii="黑体" w:eastAsia="黑体"/>
          <w:sz w:val="28"/>
          <w:szCs w:val="28"/>
        </w:rPr>
      </w:pPr>
      <w:r>
        <w:rPr>
          <w:rFonts w:hint="eastAsia" w:ascii="黑体" w:eastAsia="黑体"/>
          <w:sz w:val="28"/>
          <w:szCs w:val="28"/>
        </w:rPr>
        <w:t>二、机关运行经费支出情况</w:t>
      </w:r>
    </w:p>
    <w:p>
      <w:pPr>
        <w:keepNext w:val="0"/>
        <w:keepLines w:val="0"/>
        <w:pageBreakBefore w:val="0"/>
        <w:widowControl w:val="0"/>
        <w:kinsoku/>
        <w:wordWrap/>
        <w:overflowPunct/>
        <w:topLinePunct w:val="0"/>
        <w:bidi w:val="0"/>
        <w:snapToGrid/>
        <w:spacing w:line="560" w:lineRule="exact"/>
        <w:ind w:left="540"/>
        <w:textAlignment w:val="auto"/>
        <w:rPr>
          <w:rFonts w:ascii="仿宋_GB2312" w:eastAsia="仿宋_GB2312"/>
          <w:sz w:val="28"/>
          <w:szCs w:val="28"/>
        </w:rPr>
      </w:pPr>
      <w:r>
        <w:rPr>
          <w:rFonts w:hint="eastAsia" w:ascii="仿宋_GB2312" w:eastAsia="仿宋_GB2312"/>
          <w:sz w:val="28"/>
          <w:szCs w:val="28"/>
        </w:rPr>
        <w:t>本单位不属于机关运行经费统计范围。</w:t>
      </w:r>
    </w:p>
    <w:p>
      <w:pPr>
        <w:keepNext w:val="0"/>
        <w:keepLines w:val="0"/>
        <w:pageBreakBefore w:val="0"/>
        <w:widowControl w:val="0"/>
        <w:kinsoku/>
        <w:wordWrap/>
        <w:overflowPunct/>
        <w:topLinePunct w:val="0"/>
        <w:bidi w:val="0"/>
        <w:snapToGrid/>
        <w:spacing w:line="560" w:lineRule="exact"/>
        <w:ind w:left="540"/>
        <w:textAlignment w:val="auto"/>
        <w:rPr>
          <w:rFonts w:ascii="黑体" w:eastAsia="黑体"/>
          <w:sz w:val="28"/>
          <w:szCs w:val="28"/>
        </w:rPr>
      </w:pPr>
      <w:r>
        <w:rPr>
          <w:rFonts w:hint="eastAsia" w:ascii="黑体" w:eastAsia="黑体"/>
          <w:sz w:val="28"/>
          <w:szCs w:val="28"/>
        </w:rPr>
        <w:t>三、政府采购支出情况</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ascii="仿宋_GB2312" w:eastAsia="仿宋_GB2312"/>
          <w:sz w:val="28"/>
          <w:szCs w:val="28"/>
          <w:highlight w:val="yellow"/>
        </w:rPr>
      </w:pPr>
      <w:r>
        <w:rPr>
          <w:rFonts w:hint="eastAsia" w:ascii="仿宋_GB2312" w:eastAsia="仿宋_GB2312"/>
          <w:sz w:val="28"/>
          <w:szCs w:val="28"/>
        </w:rPr>
        <w:t>2024年度政府采购支出总额</w:t>
      </w:r>
      <w:r>
        <w:rPr>
          <w:rFonts w:ascii="仿宋_GB2312" w:eastAsia="仿宋_GB2312"/>
          <w:sz w:val="28"/>
          <w:szCs w:val="28"/>
        </w:rPr>
        <w:t>820.29</w:t>
      </w:r>
      <w:r>
        <w:rPr>
          <w:rFonts w:hint="eastAsia" w:ascii="仿宋_GB2312" w:eastAsia="仿宋_GB2312"/>
          <w:sz w:val="28"/>
          <w:szCs w:val="28"/>
        </w:rPr>
        <w:t>万元，其中：政府采购货物支出</w:t>
      </w:r>
      <w:r>
        <w:rPr>
          <w:rFonts w:ascii="仿宋_GB2312" w:eastAsia="仿宋_GB2312"/>
          <w:sz w:val="28"/>
          <w:szCs w:val="28"/>
        </w:rPr>
        <w:t>611.57</w:t>
      </w:r>
      <w:r>
        <w:rPr>
          <w:rFonts w:hint="eastAsia" w:ascii="仿宋_GB2312" w:eastAsia="仿宋_GB2312"/>
          <w:sz w:val="28"/>
          <w:szCs w:val="28"/>
        </w:rPr>
        <w:t>万元，政府采购工程支出</w:t>
      </w:r>
      <w:r>
        <w:rPr>
          <w:rFonts w:ascii="仿宋_GB2312" w:eastAsia="仿宋_GB2312"/>
          <w:sz w:val="28"/>
          <w:szCs w:val="28"/>
        </w:rPr>
        <w:t>0</w:t>
      </w:r>
      <w:r>
        <w:rPr>
          <w:rFonts w:hint="eastAsia" w:ascii="仿宋_GB2312" w:eastAsia="仿宋_GB2312"/>
          <w:sz w:val="28"/>
          <w:szCs w:val="28"/>
        </w:rPr>
        <w:t>万元，政府采购服务支出</w:t>
      </w:r>
      <w:r>
        <w:rPr>
          <w:rFonts w:ascii="仿宋_GB2312" w:eastAsia="仿宋_GB2312"/>
          <w:sz w:val="28"/>
          <w:szCs w:val="28"/>
        </w:rPr>
        <w:t>208.72</w:t>
      </w:r>
      <w:r>
        <w:rPr>
          <w:rFonts w:hint="eastAsia" w:ascii="仿宋_GB2312" w:eastAsia="仿宋_GB2312"/>
          <w:sz w:val="28"/>
          <w:szCs w:val="28"/>
        </w:rPr>
        <w:t>万元。授予中小企业合同金额</w:t>
      </w:r>
      <w:r>
        <w:rPr>
          <w:rFonts w:ascii="仿宋_GB2312" w:eastAsia="仿宋_GB2312"/>
          <w:sz w:val="28"/>
          <w:szCs w:val="28"/>
        </w:rPr>
        <w:t>776.86</w:t>
      </w:r>
      <w:r>
        <w:rPr>
          <w:rFonts w:hint="eastAsia" w:ascii="仿宋_GB2312" w:eastAsia="仿宋_GB2312"/>
          <w:sz w:val="28"/>
          <w:szCs w:val="28"/>
        </w:rPr>
        <w:t>万元，占政府采购支出总额的94.71%，其中：授予小微企业合同金额775.35万元，占政府采购支出总额的</w:t>
      </w:r>
      <w:r>
        <w:rPr>
          <w:rFonts w:ascii="仿宋_GB2312" w:eastAsia="仿宋_GB2312"/>
          <w:sz w:val="28"/>
          <w:szCs w:val="28"/>
        </w:rPr>
        <w:t>94.52</w:t>
      </w:r>
      <w:r>
        <w:rPr>
          <w:rFonts w:hint="eastAsia" w:ascii="仿宋_GB2312" w:eastAsia="仿宋_GB2312"/>
          <w:sz w:val="28"/>
          <w:szCs w:val="28"/>
        </w:rPr>
        <w:t>%。</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ascii="黑体" w:eastAsia="黑体"/>
          <w:sz w:val="28"/>
          <w:szCs w:val="28"/>
          <w:highlight w:val="yellow"/>
        </w:rPr>
      </w:pPr>
      <w:r>
        <w:rPr>
          <w:rFonts w:hint="eastAsia" w:ascii="黑体" w:eastAsia="黑体"/>
          <w:sz w:val="28"/>
          <w:szCs w:val="28"/>
        </w:rPr>
        <w:t>四、国有资产占用情况</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eastAsia="仿宋_GB2312"/>
          <w:sz w:val="32"/>
          <w:szCs w:val="32"/>
          <w:lang w:eastAsia="zh-CN"/>
        </w:rPr>
      </w:pPr>
      <w:r>
        <w:rPr>
          <w:rFonts w:hint="eastAsia" w:ascii="仿宋_GB2312" w:eastAsia="仿宋_GB2312"/>
          <w:sz w:val="28"/>
          <w:szCs w:val="28"/>
        </w:rPr>
        <w:t>截至12月31日，北京京北职业技术学院共有车辆</w:t>
      </w:r>
      <w:r>
        <w:rPr>
          <w:rFonts w:ascii="仿宋_GB2312" w:eastAsia="仿宋_GB2312"/>
          <w:sz w:val="28"/>
          <w:szCs w:val="28"/>
        </w:rPr>
        <w:t>7</w:t>
      </w:r>
      <w:r>
        <w:rPr>
          <w:rFonts w:hint="eastAsia" w:ascii="仿宋_GB2312" w:eastAsia="仿宋_GB2312"/>
          <w:sz w:val="28"/>
          <w:szCs w:val="28"/>
        </w:rPr>
        <w:t>台；单位价值100万元（含）以上的设备1台（套）</w:t>
      </w:r>
      <w:r>
        <w:rPr>
          <w:rFonts w:hint="eastAsia" w:ascii="仿宋_GB2312" w:eastAsia="仿宋_GB2312"/>
          <w:sz w:val="28"/>
          <w:szCs w:val="28"/>
          <w:lang w:eastAsia="zh-CN"/>
        </w:rPr>
        <w:t>。</w:t>
      </w:r>
    </w:p>
    <w:p>
      <w:pPr>
        <w:keepNext w:val="0"/>
        <w:keepLines w:val="0"/>
        <w:pageBreakBefore w:val="0"/>
        <w:widowControl w:val="0"/>
        <w:kinsoku/>
        <w:wordWrap/>
        <w:overflowPunct/>
        <w:topLinePunct w:val="0"/>
        <w:bidi w:val="0"/>
        <w:snapToGrid/>
        <w:spacing w:line="560" w:lineRule="exact"/>
        <w:ind w:firstLine="537" w:firstLineChars="192"/>
        <w:textAlignment w:val="auto"/>
        <w:rPr>
          <w:rFonts w:ascii="黑体" w:eastAsia="黑体"/>
          <w:sz w:val="28"/>
          <w:szCs w:val="28"/>
        </w:rPr>
      </w:pPr>
      <w:r>
        <w:rPr>
          <w:rFonts w:hint="eastAsia" w:ascii="黑体" w:eastAsia="黑体"/>
          <w:sz w:val="28"/>
          <w:szCs w:val="28"/>
        </w:rPr>
        <w:t>五</w:t>
      </w:r>
      <w:r>
        <w:rPr>
          <w:rFonts w:ascii="黑体" w:eastAsia="黑体"/>
          <w:sz w:val="28"/>
          <w:szCs w:val="28"/>
        </w:rPr>
        <w:t>、政府购买服务</w:t>
      </w:r>
      <w:r>
        <w:rPr>
          <w:rFonts w:hint="eastAsia" w:ascii="黑体" w:eastAsia="黑体"/>
          <w:sz w:val="28"/>
          <w:szCs w:val="28"/>
        </w:rPr>
        <w:t>支出</w:t>
      </w:r>
      <w:r>
        <w:rPr>
          <w:rFonts w:ascii="黑体" w:eastAsia="黑体"/>
          <w:sz w:val="28"/>
          <w:szCs w:val="28"/>
        </w:rPr>
        <w:t>说明</w:t>
      </w:r>
    </w:p>
    <w:p>
      <w:pPr>
        <w:keepNext w:val="0"/>
        <w:keepLines w:val="0"/>
        <w:pageBreakBefore w:val="0"/>
        <w:widowControl w:val="0"/>
        <w:kinsoku/>
        <w:wordWrap/>
        <w:overflowPunct/>
        <w:topLinePunct w:val="0"/>
        <w:bidi w:val="0"/>
        <w:snapToGrid/>
        <w:spacing w:line="560" w:lineRule="exact"/>
        <w:ind w:firstLine="537" w:firstLineChars="192"/>
        <w:textAlignment w:val="auto"/>
        <w:rPr>
          <w:rFonts w:ascii="仿宋_GB2312" w:eastAsia="仿宋_GB2312"/>
          <w:sz w:val="28"/>
          <w:szCs w:val="28"/>
        </w:rPr>
      </w:pPr>
      <w:r>
        <w:rPr>
          <w:rFonts w:hint="eastAsia" w:ascii="仿宋_GB2312" w:eastAsia="仿宋_GB2312"/>
          <w:sz w:val="28"/>
          <w:szCs w:val="28"/>
        </w:rPr>
        <w:t>2024年度</w:t>
      </w:r>
      <w:r>
        <w:rPr>
          <w:rFonts w:ascii="仿宋_GB2312" w:eastAsia="仿宋_GB2312"/>
          <w:sz w:val="28"/>
          <w:szCs w:val="28"/>
        </w:rPr>
        <w:t>政府购买服务决算0</w:t>
      </w:r>
      <w:r>
        <w:rPr>
          <w:rFonts w:hint="eastAsia" w:ascii="仿宋_GB2312" w:eastAsia="仿宋_GB2312"/>
          <w:sz w:val="28"/>
          <w:szCs w:val="28"/>
        </w:rPr>
        <w:t>万元。</w:t>
      </w:r>
    </w:p>
    <w:p>
      <w:pPr>
        <w:keepNext w:val="0"/>
        <w:keepLines w:val="0"/>
        <w:pageBreakBefore w:val="0"/>
        <w:widowControl w:val="0"/>
        <w:kinsoku/>
        <w:wordWrap/>
        <w:overflowPunct/>
        <w:topLinePunct w:val="0"/>
        <w:bidi w:val="0"/>
        <w:snapToGrid/>
        <w:spacing w:line="560" w:lineRule="exact"/>
        <w:ind w:firstLine="560" w:firstLineChars="200"/>
        <w:jc w:val="left"/>
        <w:textAlignment w:val="auto"/>
        <w:rPr>
          <w:rFonts w:ascii="仿宋_GB2312" w:eastAsia="仿宋_GB2312"/>
          <w:color w:val="000000"/>
          <w:sz w:val="32"/>
          <w:szCs w:val="32"/>
        </w:rPr>
      </w:pPr>
      <w:r>
        <w:rPr>
          <w:rFonts w:hint="eastAsia" w:ascii="黑体" w:eastAsia="黑体"/>
          <w:sz w:val="28"/>
          <w:szCs w:val="28"/>
        </w:rPr>
        <w:t>六、</w:t>
      </w:r>
      <w:r>
        <w:rPr>
          <w:rFonts w:ascii="黑体" w:eastAsia="黑体"/>
          <w:sz w:val="28"/>
          <w:szCs w:val="28"/>
        </w:rPr>
        <w:t>专业名词解释</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ascii="仿宋_GB2312" w:eastAsia="仿宋_GB2312"/>
          <w:sz w:val="28"/>
          <w:szCs w:val="28"/>
        </w:rPr>
      </w:pPr>
      <w:r>
        <w:rPr>
          <w:rFonts w:hint="eastAsia" w:ascii="仿宋_GB2312" w:eastAsia="仿宋_GB2312"/>
          <w:sz w:val="28"/>
          <w:szCs w:val="28"/>
        </w:rPr>
        <w:t>1.基本支出：指为保障机构正常运转、完成日常工作任务而发生的人员支出和公用支出。</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ascii="仿宋_GB2312" w:eastAsia="仿宋_GB2312"/>
          <w:sz w:val="28"/>
          <w:szCs w:val="28"/>
        </w:rPr>
      </w:pPr>
      <w:r>
        <w:rPr>
          <w:rFonts w:hint="eastAsia" w:ascii="仿宋_GB2312" w:eastAsia="仿宋_GB2312"/>
          <w:sz w:val="28"/>
          <w:szCs w:val="28"/>
        </w:rPr>
        <w:t>2.项目支出：指在基本支出之外为完成特定行政任务或事业发展目标所发生的支出。</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ascii="仿宋_GB2312" w:hAnsi="宋体" w:eastAsia="仿宋_GB2312"/>
          <w:sz w:val="28"/>
          <w:szCs w:val="28"/>
        </w:rPr>
      </w:pPr>
      <w:r>
        <w:rPr>
          <w:rFonts w:hint="eastAsia" w:ascii="仿宋_GB2312" w:eastAsia="仿宋_GB2312"/>
          <w:sz w:val="28"/>
          <w:szCs w:val="28"/>
        </w:rPr>
        <w:t>3.“三公”经费：</w:t>
      </w:r>
      <w:r>
        <w:rPr>
          <w:rFonts w:hint="eastAsia" w:ascii="仿宋_GB2312" w:hAnsi="宋体" w:eastAsia="仿宋_GB2312"/>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ascii="仿宋_GB2312" w:hAnsi="宋体" w:eastAsia="仿宋_GB2312"/>
          <w:sz w:val="28"/>
          <w:szCs w:val="28"/>
        </w:rPr>
      </w:pPr>
      <w:r>
        <w:rPr>
          <w:rFonts w:hint="eastAsia" w:ascii="仿宋_GB2312" w:eastAsia="仿宋_GB2312"/>
          <w:sz w:val="28"/>
          <w:szCs w:val="28"/>
        </w:rPr>
        <w:t>4</w:t>
      </w:r>
      <w:r>
        <w:rPr>
          <w:rFonts w:ascii="仿宋_GB2312" w:eastAsia="仿宋_GB2312"/>
          <w:sz w:val="28"/>
          <w:szCs w:val="28"/>
        </w:rPr>
        <w:t>.</w:t>
      </w:r>
      <w:r>
        <w:rPr>
          <w:rFonts w:hint="eastAsia" w:ascii="仿宋_GB2312" w:eastAsia="仿宋_GB2312"/>
          <w:sz w:val="28"/>
          <w:szCs w:val="28"/>
        </w:rPr>
        <w:t>机关运行经费：</w:t>
      </w:r>
      <w:r>
        <w:rPr>
          <w:rFonts w:hint="eastAsia" w:ascii="仿宋_GB2312" w:hAnsi="宋体" w:eastAsia="仿宋_GB2312"/>
          <w:sz w:val="28"/>
          <w:szCs w:val="28"/>
        </w:rPr>
        <w:t>指为</w:t>
      </w:r>
      <w:r>
        <w:rPr>
          <w:rFonts w:ascii="仿宋_GB2312" w:hAnsi="宋体" w:eastAsia="仿宋_GB2312"/>
          <w:sz w:val="28"/>
          <w:szCs w:val="28"/>
        </w:rPr>
        <w:t>保障</w:t>
      </w:r>
      <w:r>
        <w:rPr>
          <w:rFonts w:hint="eastAsia" w:ascii="仿宋_GB2312" w:hAnsi="宋体" w:eastAsia="仿宋_GB2312"/>
          <w:sz w:val="28"/>
          <w:szCs w:val="28"/>
        </w:rPr>
        <w:t>行政单位（含参照公务员法管理事业单位）运行用于</w:t>
      </w:r>
      <w:r>
        <w:rPr>
          <w:rFonts w:ascii="仿宋_GB2312" w:hAnsi="宋体" w:eastAsia="仿宋_GB2312"/>
          <w:sz w:val="28"/>
          <w:szCs w:val="28"/>
        </w:rPr>
        <w:t>购买货物和服务的各项资金</w:t>
      </w:r>
      <w:r>
        <w:rPr>
          <w:rFonts w:hint="eastAsia" w:ascii="仿宋_GB2312" w:hAnsi="宋体" w:eastAsia="仿宋_GB2312"/>
          <w:sz w:val="28"/>
          <w:szCs w:val="28"/>
        </w:rPr>
        <w:t>，包括办公及印刷费、邮电费、差旅费、会议费、福利费、日常维修费、专用材料及一般设备购置费、办公用房水电费、办公用房取暖费、办公用房物业管理费、公务用车运行维护费以及其他费用。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bidi w:val="0"/>
        <w:snapToGrid/>
        <w:spacing w:line="560" w:lineRule="exact"/>
        <w:ind w:firstLine="420" w:firstLineChars="150"/>
        <w:textAlignment w:val="auto"/>
        <w:rPr>
          <w:rFonts w:ascii="仿宋_GB2312" w:eastAsia="仿宋_GB2312"/>
          <w:sz w:val="28"/>
          <w:szCs w:val="28"/>
        </w:rPr>
      </w:pPr>
      <w:r>
        <w:rPr>
          <w:rFonts w:hint="eastAsia" w:ascii="仿宋_GB2312" w:eastAsia="仿宋_GB2312"/>
          <w:sz w:val="28"/>
          <w:szCs w:val="28"/>
        </w:rPr>
        <w:t>5</w:t>
      </w:r>
      <w:r>
        <w:rPr>
          <w:rFonts w:ascii="仿宋_GB2312" w:eastAsia="仿宋_GB2312"/>
          <w:sz w:val="28"/>
          <w:szCs w:val="28"/>
        </w:rPr>
        <w:t>.</w:t>
      </w:r>
      <w:r>
        <w:rPr>
          <w:rFonts w:hint="eastAsia" w:ascii="仿宋_GB2312" w:eastAsia="仿宋_GB2312"/>
          <w:sz w:val="28"/>
          <w:szCs w:val="28"/>
        </w:rPr>
        <w:t>政府采购</w:t>
      </w:r>
      <w:r>
        <w:rPr>
          <w:rFonts w:ascii="仿宋_GB2312" w:eastAsia="仿宋_GB2312"/>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r>
        <w:rPr>
          <w:rFonts w:hint="eastAsia" w:ascii="仿宋_GB2312" w:eastAsia="仿宋_GB2312"/>
          <w:sz w:val="28"/>
          <w:szCs w:val="28"/>
        </w:rPr>
        <w:t>，</w:t>
      </w:r>
      <w:r>
        <w:rPr>
          <w:rFonts w:ascii="仿宋_GB2312" w:eastAsia="仿宋_GB2312"/>
          <w:sz w:val="28"/>
          <w:szCs w:val="28"/>
        </w:rPr>
        <w:t>是规范财政支出管理和强化预算约束的有效措施。</w:t>
      </w:r>
    </w:p>
    <w:p>
      <w:pPr>
        <w:keepNext w:val="0"/>
        <w:keepLines w:val="0"/>
        <w:pageBreakBefore w:val="0"/>
        <w:widowControl w:val="0"/>
        <w:kinsoku/>
        <w:wordWrap/>
        <w:overflowPunct/>
        <w:topLinePunct w:val="0"/>
        <w:bidi w:val="0"/>
        <w:snapToGrid/>
        <w:spacing w:line="560" w:lineRule="exact"/>
        <w:ind w:firstLine="420" w:firstLineChars="150"/>
        <w:textAlignment w:val="auto"/>
        <w:rPr>
          <w:rFonts w:ascii="仿宋_GB2312" w:eastAsia="仿宋_GB2312"/>
          <w:sz w:val="28"/>
          <w:szCs w:val="28"/>
        </w:rPr>
      </w:pPr>
      <w:r>
        <w:rPr>
          <w:rFonts w:hint="eastAsia" w:ascii="仿宋_GB2312" w:eastAsia="仿宋_GB2312"/>
          <w:sz w:val="28"/>
          <w:szCs w:val="28"/>
        </w:rPr>
        <w:t>6</w:t>
      </w:r>
      <w:r>
        <w:rPr>
          <w:rFonts w:ascii="仿宋_GB2312" w:eastAsia="仿宋_GB2312"/>
          <w:sz w:val="28"/>
          <w:szCs w:val="28"/>
        </w:rPr>
        <w:t>.政府购买服务：</w:t>
      </w:r>
      <w:r>
        <w:rPr>
          <w:rFonts w:hint="eastAsia" w:ascii="仿宋_GB2312" w:eastAsia="仿宋_GB2312"/>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pPr>
        <w:keepNext w:val="0"/>
        <w:keepLines w:val="0"/>
        <w:pageBreakBefore w:val="0"/>
        <w:widowControl w:val="0"/>
        <w:kinsoku/>
        <w:wordWrap/>
        <w:overflowPunct/>
        <w:topLinePunct w:val="0"/>
        <w:bidi w:val="0"/>
        <w:snapToGrid/>
        <w:spacing w:line="560" w:lineRule="exact"/>
        <w:ind w:firstLine="420" w:firstLineChars="150"/>
        <w:textAlignment w:val="auto"/>
        <w:rPr>
          <w:rFonts w:ascii="仿宋_GB2312" w:eastAsia="仿宋_GB2312"/>
          <w:sz w:val="28"/>
          <w:szCs w:val="28"/>
        </w:rPr>
      </w:pPr>
      <w:r>
        <w:rPr>
          <w:rFonts w:hint="eastAsia" w:ascii="仿宋_GB2312" w:eastAsia="仿宋_GB2312"/>
          <w:sz w:val="28"/>
          <w:szCs w:val="28"/>
        </w:rPr>
        <w:t>7.教育经费：是指中央和地方财政部门的财政预算中实际用于教育的费用。教育经费包括教育事业费（即各级各类的学校的人员经费和公用经费）和教育基本建设投资（建筑校舍和购置大型教学设备的费用）等。教育经费主要是指国家用于发展各级教育事业的费用，具体包括高等教育、中等专业学校、职业教育、中学教育、小学教育、幼儿教育、成人高等业余教育、民办教师补助、教师进修、干部培训、“五七”大学补助、普通业余教育、特殊教育、广播电视教育经费等。</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ascii="仿宋_GB2312" w:eastAsia="仿宋_GB2312"/>
          <w:sz w:val="28"/>
          <w:szCs w:val="28"/>
        </w:rPr>
      </w:pPr>
    </w:p>
    <w:p>
      <w:pPr>
        <w:rPr>
          <w:rFonts w:ascii="仿宋_GB2312" w:eastAsia="仿宋_GB2312"/>
          <w:sz w:val="28"/>
          <w:szCs w:val="28"/>
        </w:rPr>
      </w:pPr>
      <w:r>
        <w:rPr>
          <w:rFonts w:hint="eastAsia" w:ascii="仿宋_GB2312" w:eastAsia="仿宋_GB2312"/>
          <w:sz w:val="28"/>
          <w:szCs w:val="28"/>
        </w:rPr>
        <w:br w:type="page"/>
      </w:r>
    </w:p>
    <w:p>
      <w:pPr>
        <w:ind w:firstLine="800" w:firstLineChars="200"/>
        <w:jc w:val="center"/>
        <w:rPr>
          <w:rFonts w:ascii="宋体" w:hAnsi="宋体" w:cs="宋体"/>
          <w:b/>
          <w:spacing w:val="40"/>
          <w:kern w:val="0"/>
          <w:sz w:val="32"/>
          <w:szCs w:val="32"/>
        </w:rPr>
      </w:pPr>
      <w:r>
        <w:rPr>
          <w:rFonts w:hint="eastAsia" w:ascii="宋体" w:hAnsi="宋体" w:cs="宋体"/>
          <w:b/>
          <w:spacing w:val="40"/>
          <w:kern w:val="0"/>
          <w:sz w:val="32"/>
          <w:szCs w:val="32"/>
        </w:rPr>
        <w:t>第四部分  2024年度部门绩效评价情况</w:t>
      </w:r>
    </w:p>
    <w:p>
      <w:pPr>
        <w:ind w:firstLine="560" w:firstLineChars="200"/>
        <w:rPr>
          <w:rFonts w:ascii="黑体" w:eastAsia="黑体"/>
          <w:sz w:val="28"/>
          <w:szCs w:val="28"/>
        </w:rPr>
      </w:pPr>
    </w:p>
    <w:p>
      <w:pPr>
        <w:ind w:firstLine="560" w:firstLineChars="200"/>
        <w:rPr>
          <w:rFonts w:ascii="黑体" w:eastAsia="黑体"/>
          <w:sz w:val="28"/>
          <w:szCs w:val="28"/>
        </w:rPr>
      </w:pPr>
      <w:r>
        <w:rPr>
          <w:rFonts w:hint="eastAsia" w:ascii="黑体" w:eastAsia="黑体"/>
          <w:sz w:val="28"/>
          <w:szCs w:val="28"/>
        </w:rPr>
        <w:t>一、部门整体绩效评价报告（详见附件）</w:t>
      </w:r>
    </w:p>
    <w:p>
      <w:pPr>
        <w:ind w:firstLine="560" w:firstLineChars="200"/>
        <w:rPr>
          <w:rFonts w:ascii="黑体" w:eastAsia="黑体"/>
          <w:sz w:val="28"/>
          <w:szCs w:val="28"/>
        </w:rPr>
      </w:pPr>
      <w:r>
        <w:rPr>
          <w:rFonts w:hint="eastAsia" w:ascii="黑体" w:eastAsia="黑体"/>
          <w:sz w:val="28"/>
          <w:szCs w:val="28"/>
        </w:rPr>
        <w:t>二、项目支出绩效评价报告（详见附件）</w:t>
      </w:r>
    </w:p>
    <w:p>
      <w:pPr>
        <w:ind w:firstLine="560" w:firstLineChars="200"/>
        <w:rPr>
          <w:rFonts w:ascii="黑体" w:eastAsia="黑体"/>
          <w:sz w:val="28"/>
          <w:szCs w:val="28"/>
        </w:rPr>
      </w:pPr>
      <w:r>
        <w:rPr>
          <w:rFonts w:hint="eastAsia" w:ascii="黑体" w:eastAsia="黑体"/>
          <w:sz w:val="28"/>
          <w:szCs w:val="28"/>
        </w:rPr>
        <w:t>三</w:t>
      </w:r>
      <w:r>
        <w:rPr>
          <w:rFonts w:ascii="黑体" w:eastAsia="黑体"/>
          <w:sz w:val="28"/>
          <w:szCs w:val="28"/>
        </w:rPr>
        <w:t>、</w:t>
      </w:r>
      <w:r>
        <w:rPr>
          <w:rFonts w:hint="eastAsia" w:ascii="黑体" w:eastAsia="黑体"/>
          <w:sz w:val="28"/>
          <w:szCs w:val="28"/>
        </w:rPr>
        <w:t>项目</w:t>
      </w:r>
      <w:r>
        <w:rPr>
          <w:rFonts w:ascii="黑体" w:eastAsia="黑体"/>
          <w:sz w:val="28"/>
          <w:szCs w:val="28"/>
        </w:rPr>
        <w:t>支出绩效自评表</w:t>
      </w:r>
      <w:r>
        <w:rPr>
          <w:rFonts w:hint="eastAsia" w:ascii="黑体" w:eastAsia="黑体"/>
          <w:sz w:val="28"/>
          <w:szCs w:val="28"/>
        </w:rPr>
        <w:t>（详见附件）</w:t>
      </w:r>
    </w:p>
    <w:p>
      <w:pPr>
        <w:ind w:firstLine="560" w:firstLineChars="200"/>
        <w:rPr>
          <w:rFonts w:ascii="黑体" w:eastAsia="黑体"/>
          <w:sz w:val="28"/>
          <w:szCs w:val="28"/>
        </w:rPr>
      </w:pPr>
      <w:r>
        <w:rPr>
          <w:rFonts w:hint="eastAsia" w:ascii="黑体" w:eastAsia="黑体"/>
          <w:sz w:val="28"/>
          <w:szCs w:val="28"/>
        </w:rPr>
        <w:t>四、中央对地方转移支付预算执行情况绩效自评表</w:t>
      </w:r>
      <w:r>
        <w:rPr>
          <w:rFonts w:hint="eastAsia" w:ascii="黑体" w:hAnsi="宋体" w:eastAsia="黑体" w:cs="黑体"/>
          <w:sz w:val="28"/>
          <w:szCs w:val="28"/>
          <w:lang w:bidi="ar"/>
        </w:rPr>
        <w:t>（我单位无此项支出）</w:t>
      </w:r>
    </w:p>
    <w:p>
      <w:pPr>
        <w:ind w:firstLine="560" w:firstLineChars="200"/>
        <w:rPr>
          <w:rFonts w:ascii="黑体" w:eastAsia="黑体"/>
          <w:sz w:val="28"/>
          <w:szCs w:val="28"/>
        </w:rPr>
      </w:pPr>
    </w:p>
    <w:p>
      <w:pPr>
        <w:spacing w:line="480" w:lineRule="exact"/>
        <w:rPr>
          <w:rFonts w:ascii="黑体" w:eastAsia="黑体"/>
          <w:sz w:val="32"/>
          <w:szCs w:val="32"/>
        </w:rPr>
      </w:pPr>
    </w:p>
    <w:p>
      <w:pPr>
        <w:pStyle w:val="2"/>
        <w:ind w:firstLine="420"/>
      </w:pPr>
    </w:p>
    <w:p/>
    <w:sectPr>
      <w:footerReference r:id="rId4" w:type="default"/>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separate"/>
    </w:r>
    <w:r>
      <w:rPr>
        <w:rStyle w:val="13"/>
      </w:rPr>
      <w:t>3</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separate"/>
    </w:r>
    <w:r>
      <w:rPr>
        <w:rStyle w:val="13"/>
      </w:rPr>
      <w:t>24</w:t>
    </w:r>
    <w: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iYzZjYmY2N2VjNDE1YzNkN2Q5NjJjY2IzNzY2NGUifQ=="/>
  </w:docVars>
  <w:rsids>
    <w:rsidRoot w:val="00100246"/>
    <w:rsid w:val="00003B03"/>
    <w:rsid w:val="000040E6"/>
    <w:rsid w:val="00011D72"/>
    <w:rsid w:val="00027CD5"/>
    <w:rsid w:val="00031B8E"/>
    <w:rsid w:val="00033EC1"/>
    <w:rsid w:val="00034224"/>
    <w:rsid w:val="00040275"/>
    <w:rsid w:val="0004719C"/>
    <w:rsid w:val="00047F6E"/>
    <w:rsid w:val="00051B00"/>
    <w:rsid w:val="000601B1"/>
    <w:rsid w:val="00063034"/>
    <w:rsid w:val="00066E19"/>
    <w:rsid w:val="0006752F"/>
    <w:rsid w:val="00071797"/>
    <w:rsid w:val="00071860"/>
    <w:rsid w:val="0007258E"/>
    <w:rsid w:val="00077A9E"/>
    <w:rsid w:val="00077F4A"/>
    <w:rsid w:val="00077FE5"/>
    <w:rsid w:val="00080447"/>
    <w:rsid w:val="00085663"/>
    <w:rsid w:val="00095948"/>
    <w:rsid w:val="00095C26"/>
    <w:rsid w:val="00096504"/>
    <w:rsid w:val="00096B86"/>
    <w:rsid w:val="000A1770"/>
    <w:rsid w:val="000A283C"/>
    <w:rsid w:val="000B15B7"/>
    <w:rsid w:val="000B70F1"/>
    <w:rsid w:val="000C4611"/>
    <w:rsid w:val="000D1B61"/>
    <w:rsid w:val="000D6854"/>
    <w:rsid w:val="000E0B26"/>
    <w:rsid w:val="000E3291"/>
    <w:rsid w:val="000F08FE"/>
    <w:rsid w:val="000F208B"/>
    <w:rsid w:val="000F2A48"/>
    <w:rsid w:val="000F49BE"/>
    <w:rsid w:val="00100246"/>
    <w:rsid w:val="0010682D"/>
    <w:rsid w:val="001073C6"/>
    <w:rsid w:val="00107DB5"/>
    <w:rsid w:val="00113613"/>
    <w:rsid w:val="0011483D"/>
    <w:rsid w:val="00115724"/>
    <w:rsid w:val="00130995"/>
    <w:rsid w:val="00131FF9"/>
    <w:rsid w:val="00132320"/>
    <w:rsid w:val="00135B6A"/>
    <w:rsid w:val="001369A7"/>
    <w:rsid w:val="001428C5"/>
    <w:rsid w:val="001503D8"/>
    <w:rsid w:val="00157540"/>
    <w:rsid w:val="0017111F"/>
    <w:rsid w:val="00173CF6"/>
    <w:rsid w:val="00180DAD"/>
    <w:rsid w:val="0018370E"/>
    <w:rsid w:val="001852E1"/>
    <w:rsid w:val="00191568"/>
    <w:rsid w:val="001A4277"/>
    <w:rsid w:val="001A7D2E"/>
    <w:rsid w:val="001B1DF9"/>
    <w:rsid w:val="001B1E93"/>
    <w:rsid w:val="001B375E"/>
    <w:rsid w:val="001B4A46"/>
    <w:rsid w:val="001B5E87"/>
    <w:rsid w:val="001B5E91"/>
    <w:rsid w:val="001B69BF"/>
    <w:rsid w:val="001B7988"/>
    <w:rsid w:val="001D78D9"/>
    <w:rsid w:val="001E0556"/>
    <w:rsid w:val="001E2355"/>
    <w:rsid w:val="001E2379"/>
    <w:rsid w:val="001E29A9"/>
    <w:rsid w:val="001F5857"/>
    <w:rsid w:val="00206EC3"/>
    <w:rsid w:val="0021047C"/>
    <w:rsid w:val="00211E4E"/>
    <w:rsid w:val="00213D1C"/>
    <w:rsid w:val="00214C3A"/>
    <w:rsid w:val="00217517"/>
    <w:rsid w:val="00222628"/>
    <w:rsid w:val="002253CB"/>
    <w:rsid w:val="002267A6"/>
    <w:rsid w:val="002326DE"/>
    <w:rsid w:val="00234314"/>
    <w:rsid w:val="00241724"/>
    <w:rsid w:val="0024390C"/>
    <w:rsid w:val="002441F4"/>
    <w:rsid w:val="00244204"/>
    <w:rsid w:val="002448A4"/>
    <w:rsid w:val="00245A0A"/>
    <w:rsid w:val="00246C42"/>
    <w:rsid w:val="002515CC"/>
    <w:rsid w:val="00253EC4"/>
    <w:rsid w:val="00254515"/>
    <w:rsid w:val="0026479D"/>
    <w:rsid w:val="002673C4"/>
    <w:rsid w:val="0027112B"/>
    <w:rsid w:val="00271C3F"/>
    <w:rsid w:val="00272460"/>
    <w:rsid w:val="00273070"/>
    <w:rsid w:val="0027394A"/>
    <w:rsid w:val="00274D50"/>
    <w:rsid w:val="002760D5"/>
    <w:rsid w:val="00276289"/>
    <w:rsid w:val="0028081D"/>
    <w:rsid w:val="0028458C"/>
    <w:rsid w:val="002911BD"/>
    <w:rsid w:val="00291C98"/>
    <w:rsid w:val="00294DE9"/>
    <w:rsid w:val="002A1488"/>
    <w:rsid w:val="002A4C2B"/>
    <w:rsid w:val="002B19D0"/>
    <w:rsid w:val="002B3682"/>
    <w:rsid w:val="002B5464"/>
    <w:rsid w:val="002C0443"/>
    <w:rsid w:val="002C12FB"/>
    <w:rsid w:val="002C24BC"/>
    <w:rsid w:val="002D03C6"/>
    <w:rsid w:val="002D0FDF"/>
    <w:rsid w:val="002D3955"/>
    <w:rsid w:val="002D68A9"/>
    <w:rsid w:val="002E06AE"/>
    <w:rsid w:val="002E4B75"/>
    <w:rsid w:val="002E68DD"/>
    <w:rsid w:val="002F17C2"/>
    <w:rsid w:val="002F32EE"/>
    <w:rsid w:val="002F4054"/>
    <w:rsid w:val="002F5574"/>
    <w:rsid w:val="00301D20"/>
    <w:rsid w:val="00302B19"/>
    <w:rsid w:val="00303428"/>
    <w:rsid w:val="003053C4"/>
    <w:rsid w:val="003058A3"/>
    <w:rsid w:val="00307DA5"/>
    <w:rsid w:val="0031169D"/>
    <w:rsid w:val="0031170D"/>
    <w:rsid w:val="00313E14"/>
    <w:rsid w:val="003167DD"/>
    <w:rsid w:val="00320C8B"/>
    <w:rsid w:val="00321BD8"/>
    <w:rsid w:val="00325687"/>
    <w:rsid w:val="00332C14"/>
    <w:rsid w:val="00335079"/>
    <w:rsid w:val="003352CE"/>
    <w:rsid w:val="00341D8E"/>
    <w:rsid w:val="003502B9"/>
    <w:rsid w:val="00351B8F"/>
    <w:rsid w:val="00353226"/>
    <w:rsid w:val="00353717"/>
    <w:rsid w:val="00354630"/>
    <w:rsid w:val="00365A24"/>
    <w:rsid w:val="003712DB"/>
    <w:rsid w:val="00373DDC"/>
    <w:rsid w:val="00382A86"/>
    <w:rsid w:val="00383BCC"/>
    <w:rsid w:val="00385243"/>
    <w:rsid w:val="003925D4"/>
    <w:rsid w:val="0039318C"/>
    <w:rsid w:val="00393366"/>
    <w:rsid w:val="003937DC"/>
    <w:rsid w:val="00393D75"/>
    <w:rsid w:val="003A2F2D"/>
    <w:rsid w:val="003A43AC"/>
    <w:rsid w:val="003A4EB6"/>
    <w:rsid w:val="003A7AE9"/>
    <w:rsid w:val="003A7BC5"/>
    <w:rsid w:val="003A7FF5"/>
    <w:rsid w:val="003B0352"/>
    <w:rsid w:val="003B4437"/>
    <w:rsid w:val="003B48C4"/>
    <w:rsid w:val="003B5E20"/>
    <w:rsid w:val="003B6DAD"/>
    <w:rsid w:val="003B735F"/>
    <w:rsid w:val="003C030C"/>
    <w:rsid w:val="003C55FC"/>
    <w:rsid w:val="003D0EC3"/>
    <w:rsid w:val="003D7274"/>
    <w:rsid w:val="003E4D82"/>
    <w:rsid w:val="003E5BC1"/>
    <w:rsid w:val="003F0D1B"/>
    <w:rsid w:val="003F1DD6"/>
    <w:rsid w:val="00401087"/>
    <w:rsid w:val="00402E26"/>
    <w:rsid w:val="00405701"/>
    <w:rsid w:val="004110BC"/>
    <w:rsid w:val="0041271F"/>
    <w:rsid w:val="0041688E"/>
    <w:rsid w:val="004170EF"/>
    <w:rsid w:val="0042093C"/>
    <w:rsid w:val="004233DD"/>
    <w:rsid w:val="00424405"/>
    <w:rsid w:val="00425B25"/>
    <w:rsid w:val="00425D24"/>
    <w:rsid w:val="00426A4D"/>
    <w:rsid w:val="00427687"/>
    <w:rsid w:val="00433231"/>
    <w:rsid w:val="004334CA"/>
    <w:rsid w:val="0043506A"/>
    <w:rsid w:val="00435830"/>
    <w:rsid w:val="0043619C"/>
    <w:rsid w:val="0044475D"/>
    <w:rsid w:val="00444D1E"/>
    <w:rsid w:val="0044571A"/>
    <w:rsid w:val="0044705D"/>
    <w:rsid w:val="0045090E"/>
    <w:rsid w:val="00453E36"/>
    <w:rsid w:val="00457286"/>
    <w:rsid w:val="00461FA5"/>
    <w:rsid w:val="00463566"/>
    <w:rsid w:val="00464182"/>
    <w:rsid w:val="00471C52"/>
    <w:rsid w:val="0047460C"/>
    <w:rsid w:val="00474FF2"/>
    <w:rsid w:val="00480098"/>
    <w:rsid w:val="00484A93"/>
    <w:rsid w:val="00485E12"/>
    <w:rsid w:val="004865DA"/>
    <w:rsid w:val="0048779C"/>
    <w:rsid w:val="00487AB7"/>
    <w:rsid w:val="00487ED0"/>
    <w:rsid w:val="00491D09"/>
    <w:rsid w:val="0049682C"/>
    <w:rsid w:val="004A168E"/>
    <w:rsid w:val="004A4EC7"/>
    <w:rsid w:val="004B0003"/>
    <w:rsid w:val="004C020A"/>
    <w:rsid w:val="004C03A3"/>
    <w:rsid w:val="004C44B8"/>
    <w:rsid w:val="004C7629"/>
    <w:rsid w:val="004D0D5D"/>
    <w:rsid w:val="004E27DD"/>
    <w:rsid w:val="004E3350"/>
    <w:rsid w:val="004E5292"/>
    <w:rsid w:val="004F2C5B"/>
    <w:rsid w:val="004F641B"/>
    <w:rsid w:val="004F71F3"/>
    <w:rsid w:val="005052FA"/>
    <w:rsid w:val="005069E1"/>
    <w:rsid w:val="00507E59"/>
    <w:rsid w:val="005122B5"/>
    <w:rsid w:val="0052381C"/>
    <w:rsid w:val="005346B3"/>
    <w:rsid w:val="0054051C"/>
    <w:rsid w:val="00546A84"/>
    <w:rsid w:val="00547BE2"/>
    <w:rsid w:val="0055353D"/>
    <w:rsid w:val="0056187C"/>
    <w:rsid w:val="00576B03"/>
    <w:rsid w:val="00581E1A"/>
    <w:rsid w:val="00591655"/>
    <w:rsid w:val="00591BEC"/>
    <w:rsid w:val="005940EA"/>
    <w:rsid w:val="00594448"/>
    <w:rsid w:val="005A1D6F"/>
    <w:rsid w:val="005A4D82"/>
    <w:rsid w:val="005A52A6"/>
    <w:rsid w:val="005B0DEC"/>
    <w:rsid w:val="005B368E"/>
    <w:rsid w:val="005B6E69"/>
    <w:rsid w:val="005C0015"/>
    <w:rsid w:val="005C1E82"/>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611BE4"/>
    <w:rsid w:val="0061219B"/>
    <w:rsid w:val="00621419"/>
    <w:rsid w:val="00626446"/>
    <w:rsid w:val="00626BE8"/>
    <w:rsid w:val="00631827"/>
    <w:rsid w:val="00632804"/>
    <w:rsid w:val="006376DA"/>
    <w:rsid w:val="006459DA"/>
    <w:rsid w:val="006502E8"/>
    <w:rsid w:val="00654A2B"/>
    <w:rsid w:val="0065675C"/>
    <w:rsid w:val="0065793F"/>
    <w:rsid w:val="0066263B"/>
    <w:rsid w:val="0066713A"/>
    <w:rsid w:val="0067195C"/>
    <w:rsid w:val="006724F7"/>
    <w:rsid w:val="0067511A"/>
    <w:rsid w:val="0067539B"/>
    <w:rsid w:val="00675543"/>
    <w:rsid w:val="00677396"/>
    <w:rsid w:val="00677AD9"/>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4534"/>
    <w:rsid w:val="006C5205"/>
    <w:rsid w:val="006C75F6"/>
    <w:rsid w:val="006D3F53"/>
    <w:rsid w:val="006D60AF"/>
    <w:rsid w:val="006E4722"/>
    <w:rsid w:val="00701651"/>
    <w:rsid w:val="007049BF"/>
    <w:rsid w:val="00704E79"/>
    <w:rsid w:val="00707A26"/>
    <w:rsid w:val="0071120F"/>
    <w:rsid w:val="00716380"/>
    <w:rsid w:val="00722165"/>
    <w:rsid w:val="00724B1C"/>
    <w:rsid w:val="007428F0"/>
    <w:rsid w:val="007512EF"/>
    <w:rsid w:val="007551AC"/>
    <w:rsid w:val="0076101C"/>
    <w:rsid w:val="00763D87"/>
    <w:rsid w:val="007670B2"/>
    <w:rsid w:val="00771795"/>
    <w:rsid w:val="00774925"/>
    <w:rsid w:val="0079279F"/>
    <w:rsid w:val="00793E69"/>
    <w:rsid w:val="007A063C"/>
    <w:rsid w:val="007A16B0"/>
    <w:rsid w:val="007A19EA"/>
    <w:rsid w:val="007A6092"/>
    <w:rsid w:val="007A60B7"/>
    <w:rsid w:val="007A64A6"/>
    <w:rsid w:val="007A6EE1"/>
    <w:rsid w:val="007A7C89"/>
    <w:rsid w:val="007B1487"/>
    <w:rsid w:val="007B2A43"/>
    <w:rsid w:val="007B326F"/>
    <w:rsid w:val="007B6A58"/>
    <w:rsid w:val="007B6C06"/>
    <w:rsid w:val="007B7B78"/>
    <w:rsid w:val="007C32B1"/>
    <w:rsid w:val="007C7A22"/>
    <w:rsid w:val="007C7C62"/>
    <w:rsid w:val="007D1076"/>
    <w:rsid w:val="007D12B7"/>
    <w:rsid w:val="007D2A49"/>
    <w:rsid w:val="007D5E38"/>
    <w:rsid w:val="007D7AC4"/>
    <w:rsid w:val="007E0340"/>
    <w:rsid w:val="007E1D4A"/>
    <w:rsid w:val="007E53C0"/>
    <w:rsid w:val="007E7703"/>
    <w:rsid w:val="007F4558"/>
    <w:rsid w:val="007F64DF"/>
    <w:rsid w:val="008050EF"/>
    <w:rsid w:val="0080652C"/>
    <w:rsid w:val="0080715F"/>
    <w:rsid w:val="008113D6"/>
    <w:rsid w:val="00812BA7"/>
    <w:rsid w:val="00813A87"/>
    <w:rsid w:val="00813F63"/>
    <w:rsid w:val="00815F57"/>
    <w:rsid w:val="0081760B"/>
    <w:rsid w:val="008218AC"/>
    <w:rsid w:val="00825359"/>
    <w:rsid w:val="00825E13"/>
    <w:rsid w:val="00826F07"/>
    <w:rsid w:val="008337CB"/>
    <w:rsid w:val="00834A3C"/>
    <w:rsid w:val="008360A0"/>
    <w:rsid w:val="00837658"/>
    <w:rsid w:val="00837CD4"/>
    <w:rsid w:val="00837F78"/>
    <w:rsid w:val="008400EE"/>
    <w:rsid w:val="00840791"/>
    <w:rsid w:val="00845576"/>
    <w:rsid w:val="00850708"/>
    <w:rsid w:val="00851024"/>
    <w:rsid w:val="008526D7"/>
    <w:rsid w:val="0086238C"/>
    <w:rsid w:val="008655DC"/>
    <w:rsid w:val="0086732D"/>
    <w:rsid w:val="00870183"/>
    <w:rsid w:val="00875726"/>
    <w:rsid w:val="00877F10"/>
    <w:rsid w:val="0088225D"/>
    <w:rsid w:val="00882F8D"/>
    <w:rsid w:val="00884FB0"/>
    <w:rsid w:val="008853A5"/>
    <w:rsid w:val="008944DA"/>
    <w:rsid w:val="00894D78"/>
    <w:rsid w:val="008A6A18"/>
    <w:rsid w:val="008B033F"/>
    <w:rsid w:val="008B4003"/>
    <w:rsid w:val="008B73C2"/>
    <w:rsid w:val="008B7443"/>
    <w:rsid w:val="008C179E"/>
    <w:rsid w:val="008C2379"/>
    <w:rsid w:val="008C4FF7"/>
    <w:rsid w:val="008C5C4C"/>
    <w:rsid w:val="008C7056"/>
    <w:rsid w:val="008C706D"/>
    <w:rsid w:val="008D3145"/>
    <w:rsid w:val="008E1A54"/>
    <w:rsid w:val="008E1F95"/>
    <w:rsid w:val="008E36B6"/>
    <w:rsid w:val="008E4267"/>
    <w:rsid w:val="008E4847"/>
    <w:rsid w:val="008E5FF1"/>
    <w:rsid w:val="008E63D2"/>
    <w:rsid w:val="008E6E14"/>
    <w:rsid w:val="008F1528"/>
    <w:rsid w:val="008F1AE5"/>
    <w:rsid w:val="008F55D9"/>
    <w:rsid w:val="009057DE"/>
    <w:rsid w:val="00905F97"/>
    <w:rsid w:val="00906FA3"/>
    <w:rsid w:val="0091239D"/>
    <w:rsid w:val="00912825"/>
    <w:rsid w:val="009129B8"/>
    <w:rsid w:val="00912B99"/>
    <w:rsid w:val="00912C78"/>
    <w:rsid w:val="00927892"/>
    <w:rsid w:val="009319B9"/>
    <w:rsid w:val="009351E9"/>
    <w:rsid w:val="00937862"/>
    <w:rsid w:val="00942279"/>
    <w:rsid w:val="009524EB"/>
    <w:rsid w:val="00962013"/>
    <w:rsid w:val="00963942"/>
    <w:rsid w:val="0096716C"/>
    <w:rsid w:val="009672B2"/>
    <w:rsid w:val="00971C66"/>
    <w:rsid w:val="00972363"/>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C7B74"/>
    <w:rsid w:val="009D0BE2"/>
    <w:rsid w:val="009D114E"/>
    <w:rsid w:val="009D210F"/>
    <w:rsid w:val="009D309C"/>
    <w:rsid w:val="009D37B1"/>
    <w:rsid w:val="009D4717"/>
    <w:rsid w:val="009D694D"/>
    <w:rsid w:val="009E264E"/>
    <w:rsid w:val="009F0C98"/>
    <w:rsid w:val="009F0F81"/>
    <w:rsid w:val="009F2543"/>
    <w:rsid w:val="009F256D"/>
    <w:rsid w:val="009F341E"/>
    <w:rsid w:val="009F57CE"/>
    <w:rsid w:val="00A117CA"/>
    <w:rsid w:val="00A12225"/>
    <w:rsid w:val="00A14C18"/>
    <w:rsid w:val="00A25898"/>
    <w:rsid w:val="00A3071D"/>
    <w:rsid w:val="00A3182E"/>
    <w:rsid w:val="00A31A89"/>
    <w:rsid w:val="00A32F06"/>
    <w:rsid w:val="00A34934"/>
    <w:rsid w:val="00A34EFE"/>
    <w:rsid w:val="00A36546"/>
    <w:rsid w:val="00A4069C"/>
    <w:rsid w:val="00A413B5"/>
    <w:rsid w:val="00A429CB"/>
    <w:rsid w:val="00A44E87"/>
    <w:rsid w:val="00A5063C"/>
    <w:rsid w:val="00A52749"/>
    <w:rsid w:val="00A5422E"/>
    <w:rsid w:val="00A56EC1"/>
    <w:rsid w:val="00A6350C"/>
    <w:rsid w:val="00A6370B"/>
    <w:rsid w:val="00A63A73"/>
    <w:rsid w:val="00A65FA9"/>
    <w:rsid w:val="00A6655C"/>
    <w:rsid w:val="00A66CBB"/>
    <w:rsid w:val="00A6704E"/>
    <w:rsid w:val="00A67EA4"/>
    <w:rsid w:val="00A773FF"/>
    <w:rsid w:val="00A83AA1"/>
    <w:rsid w:val="00A906F4"/>
    <w:rsid w:val="00A9343A"/>
    <w:rsid w:val="00A9706C"/>
    <w:rsid w:val="00A97B34"/>
    <w:rsid w:val="00AA1B5C"/>
    <w:rsid w:val="00AA7A27"/>
    <w:rsid w:val="00AB3FB0"/>
    <w:rsid w:val="00AB465D"/>
    <w:rsid w:val="00AB713D"/>
    <w:rsid w:val="00AC114C"/>
    <w:rsid w:val="00AC1478"/>
    <w:rsid w:val="00AC6C2D"/>
    <w:rsid w:val="00AC6E17"/>
    <w:rsid w:val="00AD2FF3"/>
    <w:rsid w:val="00AD7764"/>
    <w:rsid w:val="00AD7FE2"/>
    <w:rsid w:val="00AE1284"/>
    <w:rsid w:val="00AE1B18"/>
    <w:rsid w:val="00AE7339"/>
    <w:rsid w:val="00AF1B0B"/>
    <w:rsid w:val="00AF242C"/>
    <w:rsid w:val="00AF3CC4"/>
    <w:rsid w:val="00B05903"/>
    <w:rsid w:val="00B12C7A"/>
    <w:rsid w:val="00B12E10"/>
    <w:rsid w:val="00B22BC3"/>
    <w:rsid w:val="00B25865"/>
    <w:rsid w:val="00B272B6"/>
    <w:rsid w:val="00B2771B"/>
    <w:rsid w:val="00B336E9"/>
    <w:rsid w:val="00B33AE5"/>
    <w:rsid w:val="00B35BE5"/>
    <w:rsid w:val="00B46965"/>
    <w:rsid w:val="00B54ED0"/>
    <w:rsid w:val="00B55D47"/>
    <w:rsid w:val="00B6204E"/>
    <w:rsid w:val="00B649EC"/>
    <w:rsid w:val="00B728DD"/>
    <w:rsid w:val="00B72D43"/>
    <w:rsid w:val="00B74121"/>
    <w:rsid w:val="00B80ABA"/>
    <w:rsid w:val="00B859FF"/>
    <w:rsid w:val="00B85C1B"/>
    <w:rsid w:val="00B85FF0"/>
    <w:rsid w:val="00B86150"/>
    <w:rsid w:val="00B878F9"/>
    <w:rsid w:val="00B9044A"/>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34CA"/>
    <w:rsid w:val="00BF116A"/>
    <w:rsid w:val="00C0623C"/>
    <w:rsid w:val="00C06A07"/>
    <w:rsid w:val="00C132B6"/>
    <w:rsid w:val="00C21A6C"/>
    <w:rsid w:val="00C24A10"/>
    <w:rsid w:val="00C27003"/>
    <w:rsid w:val="00C27597"/>
    <w:rsid w:val="00C32BD4"/>
    <w:rsid w:val="00C33E48"/>
    <w:rsid w:val="00C3618B"/>
    <w:rsid w:val="00C403FB"/>
    <w:rsid w:val="00C4316E"/>
    <w:rsid w:val="00C441A2"/>
    <w:rsid w:val="00C5076B"/>
    <w:rsid w:val="00C512D4"/>
    <w:rsid w:val="00C51CF4"/>
    <w:rsid w:val="00C531E2"/>
    <w:rsid w:val="00C53204"/>
    <w:rsid w:val="00C57E34"/>
    <w:rsid w:val="00C64659"/>
    <w:rsid w:val="00C662E9"/>
    <w:rsid w:val="00C66C2D"/>
    <w:rsid w:val="00C7190B"/>
    <w:rsid w:val="00C76852"/>
    <w:rsid w:val="00C77210"/>
    <w:rsid w:val="00C777FA"/>
    <w:rsid w:val="00C77989"/>
    <w:rsid w:val="00C811F4"/>
    <w:rsid w:val="00C81E51"/>
    <w:rsid w:val="00C87B73"/>
    <w:rsid w:val="00C92444"/>
    <w:rsid w:val="00C92FBB"/>
    <w:rsid w:val="00C93327"/>
    <w:rsid w:val="00C97B4D"/>
    <w:rsid w:val="00CA5602"/>
    <w:rsid w:val="00CA5CA9"/>
    <w:rsid w:val="00CA78E2"/>
    <w:rsid w:val="00CB1BBE"/>
    <w:rsid w:val="00CB65DB"/>
    <w:rsid w:val="00CB6BD9"/>
    <w:rsid w:val="00CC293A"/>
    <w:rsid w:val="00CE19F6"/>
    <w:rsid w:val="00CE6B76"/>
    <w:rsid w:val="00CF366B"/>
    <w:rsid w:val="00CF5D9D"/>
    <w:rsid w:val="00CF606C"/>
    <w:rsid w:val="00CF7423"/>
    <w:rsid w:val="00D001F5"/>
    <w:rsid w:val="00D03E80"/>
    <w:rsid w:val="00D1505F"/>
    <w:rsid w:val="00D15B9F"/>
    <w:rsid w:val="00D15DD6"/>
    <w:rsid w:val="00D25548"/>
    <w:rsid w:val="00D2601F"/>
    <w:rsid w:val="00D27759"/>
    <w:rsid w:val="00D30028"/>
    <w:rsid w:val="00D325D3"/>
    <w:rsid w:val="00D408D6"/>
    <w:rsid w:val="00D511DD"/>
    <w:rsid w:val="00D55C2A"/>
    <w:rsid w:val="00D571C1"/>
    <w:rsid w:val="00D602F4"/>
    <w:rsid w:val="00D6457E"/>
    <w:rsid w:val="00D742E2"/>
    <w:rsid w:val="00D7580E"/>
    <w:rsid w:val="00D87DAF"/>
    <w:rsid w:val="00D9446D"/>
    <w:rsid w:val="00DA2994"/>
    <w:rsid w:val="00DB08E8"/>
    <w:rsid w:val="00DB0DED"/>
    <w:rsid w:val="00DB3073"/>
    <w:rsid w:val="00DB38C7"/>
    <w:rsid w:val="00DB3BA9"/>
    <w:rsid w:val="00DB50FE"/>
    <w:rsid w:val="00DB5EDA"/>
    <w:rsid w:val="00DC2349"/>
    <w:rsid w:val="00DC3026"/>
    <w:rsid w:val="00DD1EDB"/>
    <w:rsid w:val="00DD57AA"/>
    <w:rsid w:val="00DE1578"/>
    <w:rsid w:val="00DE7F67"/>
    <w:rsid w:val="00DF0529"/>
    <w:rsid w:val="00DF09EF"/>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10948"/>
    <w:rsid w:val="00E24371"/>
    <w:rsid w:val="00E243AB"/>
    <w:rsid w:val="00E26641"/>
    <w:rsid w:val="00E2778F"/>
    <w:rsid w:val="00E278B0"/>
    <w:rsid w:val="00E33023"/>
    <w:rsid w:val="00E331F3"/>
    <w:rsid w:val="00E3498D"/>
    <w:rsid w:val="00E42425"/>
    <w:rsid w:val="00E43E55"/>
    <w:rsid w:val="00E4554E"/>
    <w:rsid w:val="00E46D22"/>
    <w:rsid w:val="00E4768F"/>
    <w:rsid w:val="00E53C0E"/>
    <w:rsid w:val="00E54F7E"/>
    <w:rsid w:val="00E560CE"/>
    <w:rsid w:val="00E5674E"/>
    <w:rsid w:val="00E63783"/>
    <w:rsid w:val="00E650E2"/>
    <w:rsid w:val="00E75CAD"/>
    <w:rsid w:val="00E75DE2"/>
    <w:rsid w:val="00E76922"/>
    <w:rsid w:val="00E8595B"/>
    <w:rsid w:val="00E915EC"/>
    <w:rsid w:val="00EA11B1"/>
    <w:rsid w:val="00EA2224"/>
    <w:rsid w:val="00EA7194"/>
    <w:rsid w:val="00EB1329"/>
    <w:rsid w:val="00EB2987"/>
    <w:rsid w:val="00EB2D75"/>
    <w:rsid w:val="00EB34BE"/>
    <w:rsid w:val="00EB571A"/>
    <w:rsid w:val="00EB7DC1"/>
    <w:rsid w:val="00EC2804"/>
    <w:rsid w:val="00EC6117"/>
    <w:rsid w:val="00EC6138"/>
    <w:rsid w:val="00ED1DCF"/>
    <w:rsid w:val="00ED43C9"/>
    <w:rsid w:val="00EE2C60"/>
    <w:rsid w:val="00EE2E58"/>
    <w:rsid w:val="00EE487A"/>
    <w:rsid w:val="00EE734C"/>
    <w:rsid w:val="00EF6907"/>
    <w:rsid w:val="00EF6D91"/>
    <w:rsid w:val="00F01F54"/>
    <w:rsid w:val="00F04D4D"/>
    <w:rsid w:val="00F11DD8"/>
    <w:rsid w:val="00F12745"/>
    <w:rsid w:val="00F13766"/>
    <w:rsid w:val="00F20A77"/>
    <w:rsid w:val="00F22C60"/>
    <w:rsid w:val="00F231A4"/>
    <w:rsid w:val="00F23252"/>
    <w:rsid w:val="00F27B2A"/>
    <w:rsid w:val="00F31762"/>
    <w:rsid w:val="00F345D3"/>
    <w:rsid w:val="00F356ED"/>
    <w:rsid w:val="00F359B5"/>
    <w:rsid w:val="00F4144F"/>
    <w:rsid w:val="00F433F3"/>
    <w:rsid w:val="00F47F64"/>
    <w:rsid w:val="00F522D9"/>
    <w:rsid w:val="00F52F54"/>
    <w:rsid w:val="00F53584"/>
    <w:rsid w:val="00F61B24"/>
    <w:rsid w:val="00F62DE5"/>
    <w:rsid w:val="00F63F8A"/>
    <w:rsid w:val="00F6514E"/>
    <w:rsid w:val="00F703DC"/>
    <w:rsid w:val="00F71D06"/>
    <w:rsid w:val="00F73B46"/>
    <w:rsid w:val="00F73D01"/>
    <w:rsid w:val="00F7642B"/>
    <w:rsid w:val="00F76A43"/>
    <w:rsid w:val="00F80334"/>
    <w:rsid w:val="00F8139D"/>
    <w:rsid w:val="00F83DF9"/>
    <w:rsid w:val="00F85DA0"/>
    <w:rsid w:val="00F930AF"/>
    <w:rsid w:val="00F9352C"/>
    <w:rsid w:val="00F975B0"/>
    <w:rsid w:val="00FA15F1"/>
    <w:rsid w:val="00FA19F5"/>
    <w:rsid w:val="00FA4A69"/>
    <w:rsid w:val="00FA649A"/>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6A2B"/>
    <w:rsid w:val="00FF0275"/>
    <w:rsid w:val="00FF07B3"/>
    <w:rsid w:val="00FF1E37"/>
    <w:rsid w:val="017F0AD9"/>
    <w:rsid w:val="025822DB"/>
    <w:rsid w:val="025832D3"/>
    <w:rsid w:val="02BA3F8E"/>
    <w:rsid w:val="02F120AB"/>
    <w:rsid w:val="034F22CD"/>
    <w:rsid w:val="049E04C7"/>
    <w:rsid w:val="04C3537C"/>
    <w:rsid w:val="04F0604E"/>
    <w:rsid w:val="079004AC"/>
    <w:rsid w:val="092B5DEE"/>
    <w:rsid w:val="09830414"/>
    <w:rsid w:val="0ADB7197"/>
    <w:rsid w:val="0B04768D"/>
    <w:rsid w:val="0B0D0115"/>
    <w:rsid w:val="0B9177A7"/>
    <w:rsid w:val="0BA148CA"/>
    <w:rsid w:val="0C1165C4"/>
    <w:rsid w:val="0CAD246E"/>
    <w:rsid w:val="0CBA5822"/>
    <w:rsid w:val="0D0504FC"/>
    <w:rsid w:val="0D78463E"/>
    <w:rsid w:val="0DCE00B9"/>
    <w:rsid w:val="0DD136FE"/>
    <w:rsid w:val="0E0C7C58"/>
    <w:rsid w:val="0E846F58"/>
    <w:rsid w:val="0E967928"/>
    <w:rsid w:val="0EC71F0D"/>
    <w:rsid w:val="0F2A5FF8"/>
    <w:rsid w:val="0F8E2C57"/>
    <w:rsid w:val="1059665E"/>
    <w:rsid w:val="10AC13BA"/>
    <w:rsid w:val="12E110C3"/>
    <w:rsid w:val="13225964"/>
    <w:rsid w:val="145A6C1B"/>
    <w:rsid w:val="147F55CD"/>
    <w:rsid w:val="14EA0F67"/>
    <w:rsid w:val="15F76776"/>
    <w:rsid w:val="167A2FF9"/>
    <w:rsid w:val="16A0048D"/>
    <w:rsid w:val="171657DF"/>
    <w:rsid w:val="17973221"/>
    <w:rsid w:val="1AEC0734"/>
    <w:rsid w:val="1B96543A"/>
    <w:rsid w:val="1BAC6712"/>
    <w:rsid w:val="1BF60D8B"/>
    <w:rsid w:val="1C6E7E6B"/>
    <w:rsid w:val="1DD22755"/>
    <w:rsid w:val="1DEF20B0"/>
    <w:rsid w:val="1E585428"/>
    <w:rsid w:val="1EC70A8F"/>
    <w:rsid w:val="2015743A"/>
    <w:rsid w:val="214243FA"/>
    <w:rsid w:val="21AD613C"/>
    <w:rsid w:val="24412260"/>
    <w:rsid w:val="24520DD9"/>
    <w:rsid w:val="257A14F5"/>
    <w:rsid w:val="26502390"/>
    <w:rsid w:val="26962499"/>
    <w:rsid w:val="27196C26"/>
    <w:rsid w:val="2878452C"/>
    <w:rsid w:val="29631CEA"/>
    <w:rsid w:val="29EF086F"/>
    <w:rsid w:val="2A202079"/>
    <w:rsid w:val="2D184218"/>
    <w:rsid w:val="2D85793F"/>
    <w:rsid w:val="2D960702"/>
    <w:rsid w:val="2EA97345"/>
    <w:rsid w:val="2EFFE297"/>
    <w:rsid w:val="2F510054"/>
    <w:rsid w:val="301437CA"/>
    <w:rsid w:val="30985BF0"/>
    <w:rsid w:val="30BB0FEA"/>
    <w:rsid w:val="313B45DA"/>
    <w:rsid w:val="32125567"/>
    <w:rsid w:val="32456919"/>
    <w:rsid w:val="32572A7F"/>
    <w:rsid w:val="349D1F0A"/>
    <w:rsid w:val="34DD0473"/>
    <w:rsid w:val="35380BBF"/>
    <w:rsid w:val="374F0FA8"/>
    <w:rsid w:val="38D90D40"/>
    <w:rsid w:val="39552EF8"/>
    <w:rsid w:val="39C96BA3"/>
    <w:rsid w:val="3A185F87"/>
    <w:rsid w:val="3A1E7935"/>
    <w:rsid w:val="3A612F68"/>
    <w:rsid w:val="3C684897"/>
    <w:rsid w:val="3D2A703F"/>
    <w:rsid w:val="3E5F67DB"/>
    <w:rsid w:val="3F3D74FE"/>
    <w:rsid w:val="402E1B29"/>
    <w:rsid w:val="408E4304"/>
    <w:rsid w:val="433E495C"/>
    <w:rsid w:val="44703991"/>
    <w:rsid w:val="44D37FBC"/>
    <w:rsid w:val="489F2FD7"/>
    <w:rsid w:val="499E328F"/>
    <w:rsid w:val="49BE748D"/>
    <w:rsid w:val="4AC27CB3"/>
    <w:rsid w:val="4B18273F"/>
    <w:rsid w:val="4B311DC2"/>
    <w:rsid w:val="4B9610E3"/>
    <w:rsid w:val="4B981DC9"/>
    <w:rsid w:val="4BF72BEF"/>
    <w:rsid w:val="4C7B1665"/>
    <w:rsid w:val="4C7E1155"/>
    <w:rsid w:val="4CCF6490"/>
    <w:rsid w:val="4D7B72A5"/>
    <w:rsid w:val="4DCA28A4"/>
    <w:rsid w:val="4DD059E1"/>
    <w:rsid w:val="4E7B1F87"/>
    <w:rsid w:val="4EDB46F0"/>
    <w:rsid w:val="4F364B76"/>
    <w:rsid w:val="4FA90297"/>
    <w:rsid w:val="4FC41A43"/>
    <w:rsid w:val="51864DB4"/>
    <w:rsid w:val="51DB3C59"/>
    <w:rsid w:val="51E1137F"/>
    <w:rsid w:val="52466271"/>
    <w:rsid w:val="52A77A34"/>
    <w:rsid w:val="550C0952"/>
    <w:rsid w:val="55221552"/>
    <w:rsid w:val="5542371C"/>
    <w:rsid w:val="55762E42"/>
    <w:rsid w:val="56C500AD"/>
    <w:rsid w:val="57951C90"/>
    <w:rsid w:val="57A7B272"/>
    <w:rsid w:val="57D165DD"/>
    <w:rsid w:val="58470068"/>
    <w:rsid w:val="58747CAC"/>
    <w:rsid w:val="59883613"/>
    <w:rsid w:val="59D21BAF"/>
    <w:rsid w:val="5A1720F9"/>
    <w:rsid w:val="5AC4067B"/>
    <w:rsid w:val="5B244FC2"/>
    <w:rsid w:val="5B9C37C2"/>
    <w:rsid w:val="5BA7C654"/>
    <w:rsid w:val="5C166CB5"/>
    <w:rsid w:val="5D7C0DC4"/>
    <w:rsid w:val="5DA94C3C"/>
    <w:rsid w:val="5EFFA75D"/>
    <w:rsid w:val="5FEF897A"/>
    <w:rsid w:val="60A54109"/>
    <w:rsid w:val="60BB42CE"/>
    <w:rsid w:val="61D01CDF"/>
    <w:rsid w:val="622A0686"/>
    <w:rsid w:val="64C0607C"/>
    <w:rsid w:val="65756C86"/>
    <w:rsid w:val="674D385B"/>
    <w:rsid w:val="67640581"/>
    <w:rsid w:val="676F09E1"/>
    <w:rsid w:val="67A41618"/>
    <w:rsid w:val="697D3FF1"/>
    <w:rsid w:val="6A6E5F0E"/>
    <w:rsid w:val="6A715BC0"/>
    <w:rsid w:val="6A745DDA"/>
    <w:rsid w:val="6BC95974"/>
    <w:rsid w:val="6BEF47E3"/>
    <w:rsid w:val="6C792618"/>
    <w:rsid w:val="6D341690"/>
    <w:rsid w:val="6D673FCB"/>
    <w:rsid w:val="6E185D14"/>
    <w:rsid w:val="6E8421A4"/>
    <w:rsid w:val="6F3C65DA"/>
    <w:rsid w:val="6F4D4C8B"/>
    <w:rsid w:val="7056191E"/>
    <w:rsid w:val="708B627B"/>
    <w:rsid w:val="70AE0489"/>
    <w:rsid w:val="70BC3E77"/>
    <w:rsid w:val="71C72AD3"/>
    <w:rsid w:val="72BF37AA"/>
    <w:rsid w:val="736351F7"/>
    <w:rsid w:val="73A13611"/>
    <w:rsid w:val="73FB4CB6"/>
    <w:rsid w:val="749562AB"/>
    <w:rsid w:val="75CF685A"/>
    <w:rsid w:val="75D6274E"/>
    <w:rsid w:val="76390547"/>
    <w:rsid w:val="76CB93E8"/>
    <w:rsid w:val="77A3046F"/>
    <w:rsid w:val="78AE6623"/>
    <w:rsid w:val="795A422D"/>
    <w:rsid w:val="795E69E5"/>
    <w:rsid w:val="798524E4"/>
    <w:rsid w:val="79E03459"/>
    <w:rsid w:val="7A086553"/>
    <w:rsid w:val="7A1D2E90"/>
    <w:rsid w:val="7A7F1C49"/>
    <w:rsid w:val="7B5B7AE6"/>
    <w:rsid w:val="7B7B6628"/>
    <w:rsid w:val="7BA7071E"/>
    <w:rsid w:val="7BDF6DA8"/>
    <w:rsid w:val="7C7629E3"/>
    <w:rsid w:val="7C7EDC1A"/>
    <w:rsid w:val="7CCED98D"/>
    <w:rsid w:val="7CDEF8CE"/>
    <w:rsid w:val="7D08410F"/>
    <w:rsid w:val="7DB370E9"/>
    <w:rsid w:val="7DB91BC5"/>
    <w:rsid w:val="7DB96DED"/>
    <w:rsid w:val="7DC562D9"/>
    <w:rsid w:val="7DD3AD81"/>
    <w:rsid w:val="7E0A5CB9"/>
    <w:rsid w:val="7EED78F1"/>
    <w:rsid w:val="7F3E1986"/>
    <w:rsid w:val="7F74591C"/>
    <w:rsid w:val="7F7FE70F"/>
    <w:rsid w:val="7F8A39B9"/>
    <w:rsid w:val="7FFF772F"/>
    <w:rsid w:val="95F35EF6"/>
    <w:rsid w:val="9BFFD860"/>
    <w:rsid w:val="AC5F73DE"/>
    <w:rsid w:val="AF1613D4"/>
    <w:rsid w:val="B5DDD2C8"/>
    <w:rsid w:val="B9DFABD9"/>
    <w:rsid w:val="BC0D83FC"/>
    <w:rsid w:val="BF3BDEFB"/>
    <w:rsid w:val="C75F6086"/>
    <w:rsid w:val="C7F7ED2D"/>
    <w:rsid w:val="CFAF854E"/>
    <w:rsid w:val="D8D7928E"/>
    <w:rsid w:val="D8FE3136"/>
    <w:rsid w:val="DDB73750"/>
    <w:rsid w:val="DDDE60B7"/>
    <w:rsid w:val="DE9F6A22"/>
    <w:rsid w:val="DF4FCE6A"/>
    <w:rsid w:val="E4FED278"/>
    <w:rsid w:val="EDAA365C"/>
    <w:rsid w:val="EDADFC12"/>
    <w:rsid w:val="F1FE35FD"/>
    <w:rsid w:val="F2FD229B"/>
    <w:rsid w:val="F7A7D327"/>
    <w:rsid w:val="F7F709E9"/>
    <w:rsid w:val="F7FF3690"/>
    <w:rsid w:val="F9BD3900"/>
    <w:rsid w:val="FBFF6F1D"/>
    <w:rsid w:val="FC8B9876"/>
    <w:rsid w:val="FEDFF218"/>
    <w:rsid w:val="FEDFF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spacing w:line="600" w:lineRule="exact"/>
      <w:ind w:firstLine="640"/>
      <w:outlineLvl w:val="0"/>
    </w:pPr>
    <w:rPr>
      <w:rFonts w:ascii="黑体" w:hAnsi="黑体" w:eastAsia="黑体" w:cs="宋体"/>
      <w:color w:val="000000"/>
      <w:kern w:val="0"/>
    </w:rPr>
  </w:style>
  <w:style w:type="paragraph" w:styleId="4">
    <w:name w:val="heading 2"/>
    <w:basedOn w:val="1"/>
    <w:next w:val="1"/>
    <w:qFormat/>
    <w:uiPriority w:val="0"/>
    <w:pPr>
      <w:keepNext/>
      <w:keepLines/>
      <w:spacing w:before="100" w:beforeAutospacing="1" w:after="100" w:afterAutospacing="1"/>
      <w:outlineLvl w:val="1"/>
    </w:pPr>
    <w:rPr>
      <w:rFonts w:ascii="Cambria" w:hAnsi="Cambria" w:eastAsia="黑体"/>
      <w:b/>
      <w:bCs/>
      <w:kern w:val="0"/>
      <w:sz w:val="36"/>
      <w:szCs w:val="32"/>
    </w:rPr>
  </w:style>
  <w:style w:type="character" w:default="1" w:styleId="11">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200" w:firstLineChars="200"/>
    </w:pPr>
  </w:style>
  <w:style w:type="paragraph" w:styleId="5">
    <w:name w:val="Body Text Indent"/>
    <w:basedOn w:val="1"/>
    <w:qFormat/>
    <w:uiPriority w:val="0"/>
    <w:pPr>
      <w:ind w:firstLine="645"/>
    </w:pPr>
    <w:rPr>
      <w:rFonts w:ascii="仿宋_GB2312" w:hAnsi="Calibri" w:eastAsia="仿宋_GB2312"/>
      <w:sz w:val="32"/>
      <w:szCs w:val="32"/>
    </w:rPr>
  </w:style>
  <w:style w:type="paragraph" w:styleId="6">
    <w:name w:val="Date"/>
    <w:basedOn w:val="1"/>
    <w:next w:val="1"/>
    <w:qFormat/>
    <w:uiPriority w:val="0"/>
    <w:pPr>
      <w:ind w:left="100" w:leftChars="2500"/>
    </w:pPr>
  </w:style>
  <w:style w:type="paragraph" w:styleId="7">
    <w:name w:val="Balloon Text"/>
    <w:basedOn w:val="1"/>
    <w:semiHidden/>
    <w:qFormat/>
    <w:uiPriority w:val="0"/>
    <w:rPr>
      <w:sz w:val="18"/>
      <w:szCs w:val="18"/>
    </w:rPr>
  </w:style>
  <w:style w:type="paragraph" w:styleId="8">
    <w:name w:val="footer"/>
    <w:basedOn w:val="1"/>
    <w:link w:val="16"/>
    <w:qFormat/>
    <w:uiPriority w:val="0"/>
    <w:pPr>
      <w:tabs>
        <w:tab w:val="center" w:pos="4153"/>
        <w:tab w:val="right" w:pos="8306"/>
      </w:tabs>
      <w:snapToGrid w:val="0"/>
      <w:jc w:val="left"/>
    </w:pPr>
    <w:rPr>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0">
    <w:name w:val="Normal (Web)"/>
    <w:basedOn w:val="1"/>
    <w:unhideWhenUsed/>
    <w:qFormat/>
    <w:uiPriority w:val="0"/>
    <w:pPr>
      <w:spacing w:before="100" w:beforeAutospacing="1" w:after="100" w:afterAutospacing="1"/>
      <w:ind w:right="238"/>
      <w:jc w:val="left"/>
    </w:pPr>
    <w:rPr>
      <w:b/>
      <w:kern w:val="0"/>
      <w:sz w:val="24"/>
      <w:szCs w:val="20"/>
    </w:rPr>
  </w:style>
  <w:style w:type="character" w:styleId="12">
    <w:name w:val="Strong"/>
    <w:qFormat/>
    <w:uiPriority w:val="0"/>
    <w:rPr>
      <w:b/>
    </w:rPr>
  </w:style>
  <w:style w:type="character" w:styleId="13">
    <w:name w:val="page number"/>
    <w:qFormat/>
    <w:uiPriority w:val="0"/>
  </w:style>
  <w:style w:type="table" w:styleId="15">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6">
    <w:name w:val="页脚 Char"/>
    <w:link w:val="8"/>
    <w:qFormat/>
    <w:uiPriority w:val="0"/>
    <w:rPr>
      <w:rFonts w:eastAsia="宋体"/>
      <w:kern w:val="2"/>
      <w:sz w:val="18"/>
      <w:szCs w:val="18"/>
      <w:lang w:val="en-US" w:eastAsia="zh-CN" w:bidi="ar-SA"/>
    </w:rPr>
  </w:style>
  <w:style w:type="character" w:customStyle="1" w:styleId="17">
    <w:name w:val="页眉 Char"/>
    <w:link w:val="9"/>
    <w:qFormat/>
    <w:uiPriority w:val="0"/>
    <w:rPr>
      <w:rFonts w:ascii="Calibri" w:hAnsi="Calibri" w:eastAsia="宋体"/>
      <w:kern w:val="2"/>
      <w:sz w:val="18"/>
      <w:szCs w:val="18"/>
      <w:lang w:val="en-US" w:eastAsia="zh-CN" w:bidi="ar-SA"/>
    </w:rPr>
  </w:style>
  <w:style w:type="paragraph" w:customStyle="1" w:styleId="18">
    <w:name w:val="Char Char Char Char Char Char Char"/>
    <w:basedOn w:val="1"/>
    <w:qFormat/>
    <w:uiPriority w:val="0"/>
    <w:rPr>
      <w:rFonts w:ascii="Tahoma" w:hAnsi="Tahoma"/>
      <w:sz w:val="24"/>
      <w:szCs w:val="20"/>
    </w:rPr>
  </w:style>
  <w:style w:type="paragraph" w:customStyle="1" w:styleId="19">
    <w:name w:val="Char1 Char Char Char"/>
    <w:basedOn w:val="1"/>
    <w:qFormat/>
    <w:uiPriority w:val="0"/>
    <w:pPr>
      <w:widowControl/>
      <w:spacing w:after="160" w:line="240" w:lineRule="exact"/>
      <w:jc w:val="left"/>
    </w:pPr>
    <w:rPr>
      <w:szCs w:val="20"/>
    </w:rPr>
  </w:style>
  <w:style w:type="paragraph" w:customStyle="1" w:styleId="20">
    <w:name w:val="Char"/>
    <w:basedOn w:val="1"/>
    <w:qFormat/>
    <w:uiPriority w:val="0"/>
    <w:rPr>
      <w:rFonts w:ascii="Tahoma" w:hAnsi="Tahoma"/>
      <w:sz w:val="24"/>
      <w:szCs w:val="20"/>
    </w:rPr>
  </w:style>
  <w:style w:type="paragraph" w:customStyle="1" w:styleId="21">
    <w:name w:val="Char Char3 Char Char"/>
    <w:basedOn w:val="1"/>
    <w:qFormat/>
    <w:uiPriority w:val="0"/>
    <w:rPr>
      <w:szCs w:val="21"/>
    </w:rPr>
  </w:style>
  <w:style w:type="character" w:customStyle="1" w:styleId="22">
    <w:name w:val="font31"/>
    <w:basedOn w:val="11"/>
    <w:qFormat/>
    <w:uiPriority w:val="0"/>
    <w:rPr>
      <w:rFonts w:hint="eastAsia" w:ascii="宋体" w:hAnsi="宋体" w:eastAsia="宋体" w:cs="宋体"/>
      <w:color w:val="000000"/>
      <w:sz w:val="20"/>
      <w:szCs w:val="20"/>
      <w:u w:val="none"/>
    </w:rPr>
  </w:style>
  <w:style w:type="character" w:customStyle="1" w:styleId="23">
    <w:name w:val="font51"/>
    <w:basedOn w:val="11"/>
    <w:qFormat/>
    <w:uiPriority w:val="0"/>
    <w:rPr>
      <w:rFonts w:hint="eastAsia" w:ascii="宋体" w:hAnsi="宋体" w:eastAsia="宋体" w:cs="宋体"/>
      <w:color w:val="000000"/>
      <w:sz w:val="20"/>
      <w:szCs w:val="20"/>
      <w:u w:val="none"/>
    </w:rPr>
  </w:style>
  <w:style w:type="character" w:customStyle="1" w:styleId="24">
    <w:name w:val="font21"/>
    <w:basedOn w:val="11"/>
    <w:qFormat/>
    <w:uiPriority w:val="0"/>
    <w:rPr>
      <w:rFonts w:hint="eastAsia" w:ascii="宋体" w:hAnsi="宋体" w:eastAsia="宋体" w:cs="宋体"/>
      <w:color w:val="000000"/>
      <w:sz w:val="18"/>
      <w:szCs w:val="18"/>
      <w:u w:val="none"/>
    </w:rPr>
  </w:style>
  <w:style w:type="character" w:customStyle="1" w:styleId="25">
    <w:name w:val="font01"/>
    <w:basedOn w:val="11"/>
    <w:qFormat/>
    <w:uiPriority w:val="0"/>
    <w:rPr>
      <w:rFonts w:hint="eastAsia" w:ascii="宋体" w:hAnsi="宋体" w:eastAsia="宋体" w:cs="宋体"/>
      <w:color w:val="000000"/>
      <w:sz w:val="20"/>
      <w:szCs w:val="20"/>
      <w:u w:val="none"/>
    </w:rPr>
  </w:style>
  <w:style w:type="character" w:customStyle="1" w:styleId="26">
    <w:name w:val="font81"/>
    <w:basedOn w:val="11"/>
    <w:qFormat/>
    <w:uiPriority w:val="0"/>
    <w:rPr>
      <w:rFonts w:hint="eastAsia" w:ascii="宋体" w:hAnsi="宋体" w:eastAsia="宋体" w:cs="宋体"/>
      <w:color w:val="000000"/>
      <w:sz w:val="20"/>
      <w:szCs w:val="20"/>
      <w:u w:val="none"/>
    </w:rPr>
  </w:style>
  <w:style w:type="character" w:customStyle="1" w:styleId="27">
    <w:name w:val="15"/>
    <w:basedOn w:val="11"/>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b="0"/>
              <a:t>收入决算</a:t>
            </a:r>
            <a:endParaRPr lang="zh-CN" altLang="en-US" sz="1400" b="0"/>
          </a:p>
        </c:rich>
      </c:tx>
      <c:layout/>
      <c:overlay val="0"/>
    </c:title>
    <c:autoTitleDeleted val="0"/>
    <c:plotArea>
      <c:layout/>
      <c:pieChart>
        <c:varyColors val="1"/>
        <c:ser>
          <c:idx val="0"/>
          <c:order val="0"/>
          <c:tx>
            <c:strRef>
              <c:f>Sheet1!$B$1</c:f>
              <c:strCache>
                <c:ptCount val="1"/>
                <c:pt idx="0">
                  <c:v>收入</c:v>
                </c:pt>
              </c:strCache>
            </c:strRef>
          </c:tx>
          <c:explosion val="0"/>
          <c:dPt>
            <c:idx val="0"/>
            <c:bubble3D val="0"/>
          </c:dPt>
          <c:dPt>
            <c:idx val="1"/>
            <c:bubble3D val="0"/>
          </c:dPt>
          <c:dPt>
            <c:idx val="2"/>
            <c:bubble3D val="0"/>
          </c:dPt>
          <c:dPt>
            <c:idx val="3"/>
            <c:bubble3D val="0"/>
          </c:dPt>
          <c:dPt>
            <c:idx val="4"/>
            <c:bubble3D val="0"/>
          </c:dPt>
          <c:dPt>
            <c:idx val="5"/>
            <c:bubble3D val="0"/>
          </c:dPt>
          <c:dLbls>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Sheet1!$A$2:$A$7</c:f>
              <c:strCache>
                <c:ptCount val="6"/>
                <c:pt idx="0">
                  <c:v>财政拨款收入</c:v>
                </c:pt>
                <c:pt idx="1">
                  <c:v>上级补助收入</c:v>
                </c:pt>
                <c:pt idx="2">
                  <c:v>事业收入</c:v>
                </c:pt>
                <c:pt idx="3">
                  <c:v>经营收入</c:v>
                </c:pt>
                <c:pt idx="4">
                  <c:v>附属单位上缴</c:v>
                </c:pt>
                <c:pt idx="5">
                  <c:v>其他收入</c:v>
                </c:pt>
              </c:strCache>
            </c:strRef>
          </c:cat>
          <c:val>
            <c:numRef>
              <c:f>Sheet1!$B$2:$B$7</c:f>
              <c:numCache>
                <c:formatCode>General</c:formatCode>
                <c:ptCount val="6"/>
                <c:pt idx="0">
                  <c:v>8991.71</c:v>
                </c:pt>
                <c:pt idx="1">
                  <c:v>0</c:v>
                </c:pt>
                <c:pt idx="2">
                  <c:v>1780.41</c:v>
                </c:pt>
                <c:pt idx="3">
                  <c:v>0</c:v>
                </c:pt>
                <c:pt idx="4">
                  <c:v>0</c:v>
                </c:pt>
                <c:pt idx="5">
                  <c:v>38.06</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solidFill>
                <a:latin typeface="+mn-lt"/>
                <a:ea typeface="+mn-ea"/>
                <a:cs typeface="+mn-cs"/>
              </a:defRPr>
            </a:pPr>
            <a:r>
              <a:rPr lang="zh-CN" altLang="en-US">
                <a:solidFill>
                  <a:schemeClr val="tx1"/>
                </a:solidFill>
              </a:rPr>
              <a:t>支出决算</a:t>
            </a:r>
            <a:endParaRPr lang="zh-CN" altLang="en-US">
              <a:solidFill>
                <a:schemeClr val="tx1"/>
              </a:solidFill>
            </a:endParaRPr>
          </a:p>
        </c:rich>
      </c:tx>
      <c:layout/>
      <c:overlay val="0"/>
      <c:spPr>
        <a:noFill/>
        <a:ln>
          <a:noFill/>
        </a:ln>
        <a:effectLst/>
      </c:spPr>
    </c:title>
    <c:autoTitleDeleted val="0"/>
    <c:plotArea>
      <c:layout/>
      <c:pieChart>
        <c:varyColors val="1"/>
        <c:ser>
          <c:idx val="0"/>
          <c:order val="0"/>
          <c:tx>
            <c:strRef>
              <c:f>Sheet0!$B$1</c:f>
              <c:strCache>
                <c:ptCount val="1"/>
                <c:pt idx="0">
                  <c:v>支出</c:v>
                </c:pt>
              </c:strCache>
            </c:strRef>
          </c:tx>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Pt>
            <c:idx val="2"/>
            <c:bubble3D val="0"/>
            <c:spPr>
              <a:solidFill>
                <a:srgbClr val="9BBB59"/>
              </a:solidFill>
              <a:ln w="19050">
                <a:solidFill>
                  <a:srgbClr val="FFFFFF"/>
                </a:solidFill>
              </a:ln>
              <a:effectLst/>
            </c:spPr>
          </c:dPt>
          <c:dPt>
            <c:idx val="3"/>
            <c:bubble3D val="0"/>
            <c:spPr>
              <a:solidFill>
                <a:srgbClr val="8064A2"/>
              </a:solidFill>
              <a:ln w="19050">
                <a:solidFill>
                  <a:srgbClr val="FFFFFF"/>
                </a:solidFill>
              </a:ln>
              <a:effectLst/>
            </c:spPr>
          </c:dPt>
          <c:dPt>
            <c:idx val="4"/>
            <c:bubble3D val="0"/>
            <c:spPr>
              <a:solidFill>
                <a:srgbClr val="4BACC6"/>
              </a:solidFill>
              <a:ln w="19050">
                <a:solidFill>
                  <a:srgbClr val="FFFFFF"/>
                </a:solidFill>
              </a:ln>
              <a:effectLst/>
            </c:spPr>
          </c:dPt>
          <c:dLbls>
            <c:dLbl>
              <c:idx val="2"/>
              <c:layout>
                <c:manualLayout>
                  <c:x val="-0.03900372940115"/>
                  <c:y val="0.0328271436107878"/>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0.0389887693586102"/>
                  <c:y val="0.0105112295100623"/>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cat>
            <c:strRef>
              <c:f>Sheet0!$A$2:$A$6</c:f>
              <c:strCache>
                <c:ptCount val="5"/>
                <c:pt idx="0">
                  <c:v>基本支出</c:v>
                </c:pt>
                <c:pt idx="1">
                  <c:v>项目支出</c:v>
                </c:pt>
                <c:pt idx="2">
                  <c:v>上缴上级支出</c:v>
                </c:pt>
                <c:pt idx="3">
                  <c:v>经营支出</c:v>
                </c:pt>
                <c:pt idx="4">
                  <c:v>对附属单位补助支出</c:v>
                </c:pt>
              </c:strCache>
            </c:strRef>
          </c:cat>
          <c:val>
            <c:numRef>
              <c:f>Sheet0!$B$2:$B$6</c:f>
              <c:numCache>
                <c:formatCode>General</c:formatCode>
                <c:ptCount val="5"/>
                <c:pt idx="0">
                  <c:v>8190.37</c:v>
                </c:pt>
                <c:pt idx="1">
                  <c:v>2549.48</c:v>
                </c:pt>
                <c:pt idx="2">
                  <c:v>0</c:v>
                </c:pt>
                <c:pt idx="3">
                  <c:v>0</c:v>
                </c:pt>
                <c:pt idx="4">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3"/>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4"/>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solidFill>
        <a:srgbClr val="D9D9D9">
          <a:lumMod val="15000"/>
          <a:lumOff val="85000"/>
        </a:srgb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27</Pages>
  <Words>2018</Words>
  <Characters>11505</Characters>
  <Lines>95</Lines>
  <Paragraphs>26</Paragraphs>
  <TotalTime>0</TotalTime>
  <ScaleCrop>false</ScaleCrop>
  <LinksUpToDate>false</LinksUpToDate>
  <CharactersWithSpaces>13497</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2017-07-12T07:16:00Z</dcterms:created>
  <dc:creator>常程</dc:creator>
  <cp:lastModifiedBy>Administrator</cp:lastModifiedBy>
  <cp:lastPrinted>2025-06-10T22:57:00Z</cp:lastPrinted>
  <dcterms:modified xsi:type="dcterms:W3CDTF">2025-08-26T08:12:49Z</dcterms:modified>
  <dc:title>北京市财政局关于做好向市人大常委会报送2015年度市级部门决算（草案）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435078ACFECC4A5A8A519EF4C3681114_13</vt:lpwstr>
  </property>
  <property fmtid="{D5CDD505-2E9C-101B-9397-08002B2CF9AE}" pid="4" name="KSOTemplateDocerSaveRecord">
    <vt:lpwstr>eyJoZGlkIjoiMzc4NWY1MzkzMjk1MGZhYTYzN2RlYzY2ZjI5NzA1ZTciLCJ1c2VySWQiOiIxMDExMTUzMTMyIn0=</vt:lpwstr>
  </property>
</Properties>
</file>