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F61C1F">
      <w:pPr>
        <w:jc w:val="center"/>
        <w:rPr>
          <w:rFonts w:hint="eastAsia" w:ascii="仿宋_GB2312" w:eastAsia="仿宋_GB2312"/>
          <w:b/>
          <w:sz w:val="32"/>
          <w:szCs w:val="32"/>
        </w:rPr>
      </w:pPr>
    </w:p>
    <w:p w14:paraId="316F4C55">
      <w:pPr>
        <w:jc w:val="center"/>
        <w:rPr>
          <w:rFonts w:ascii="黑体" w:eastAsia="黑体"/>
          <w:sz w:val="72"/>
          <w:szCs w:val="72"/>
        </w:rPr>
      </w:pPr>
    </w:p>
    <w:p w14:paraId="50F323BF">
      <w:pPr>
        <w:jc w:val="center"/>
        <w:rPr>
          <w:rFonts w:ascii="黑体" w:eastAsia="黑体"/>
          <w:sz w:val="72"/>
          <w:szCs w:val="72"/>
        </w:rPr>
      </w:pPr>
    </w:p>
    <w:p w14:paraId="3937A2C0">
      <w:pPr>
        <w:jc w:val="center"/>
        <w:rPr>
          <w:rFonts w:ascii="黑体" w:eastAsia="黑体"/>
          <w:sz w:val="72"/>
          <w:szCs w:val="72"/>
        </w:rPr>
      </w:pPr>
    </w:p>
    <w:p w14:paraId="277F862B">
      <w:pPr>
        <w:jc w:val="center"/>
        <w:rPr>
          <w:rFonts w:ascii="黑体" w:eastAsia="黑体"/>
          <w:sz w:val="72"/>
          <w:szCs w:val="72"/>
        </w:rPr>
      </w:pPr>
      <w:r>
        <w:rPr>
          <w:rFonts w:hint="eastAsia" w:ascii="黑体" w:eastAsia="黑体"/>
          <w:sz w:val="72"/>
          <w:szCs w:val="72"/>
        </w:rPr>
        <w:t>北京开放大学怀柔分校</w:t>
      </w:r>
    </w:p>
    <w:p w14:paraId="77B90F3B">
      <w:pPr>
        <w:jc w:val="center"/>
        <w:rPr>
          <w:rFonts w:ascii="黑体" w:eastAsia="黑体"/>
          <w:sz w:val="72"/>
          <w:szCs w:val="72"/>
        </w:rPr>
      </w:pPr>
      <w:r>
        <w:rPr>
          <w:rFonts w:hint="eastAsia" w:ascii="黑体" w:eastAsia="黑体"/>
          <w:sz w:val="72"/>
          <w:szCs w:val="72"/>
        </w:rPr>
        <w:t>2024年度单位决算（公开</w:t>
      </w:r>
      <w:r>
        <w:rPr>
          <w:rFonts w:ascii="黑体" w:eastAsia="黑体"/>
          <w:sz w:val="72"/>
          <w:szCs w:val="72"/>
        </w:rPr>
        <w:t>）</w:t>
      </w:r>
    </w:p>
    <w:p w14:paraId="1A3ED8D3">
      <w:pPr>
        <w:jc w:val="center"/>
        <w:rPr>
          <w:rFonts w:ascii="黑体" w:eastAsia="黑体"/>
          <w:sz w:val="52"/>
          <w:szCs w:val="52"/>
        </w:rPr>
      </w:pPr>
    </w:p>
    <w:p w14:paraId="401E3E79">
      <w:pPr>
        <w:rPr>
          <w:rFonts w:ascii="黑体" w:eastAsia="黑体"/>
          <w:sz w:val="52"/>
          <w:szCs w:val="52"/>
        </w:rPr>
      </w:pPr>
    </w:p>
    <w:p w14:paraId="2418414A">
      <w:pPr>
        <w:pStyle w:val="3"/>
        <w:rPr>
          <w:rFonts w:ascii="黑体"/>
          <w:sz w:val="52"/>
          <w:szCs w:val="52"/>
        </w:rPr>
      </w:pPr>
    </w:p>
    <w:p w14:paraId="1651560D"/>
    <w:p w14:paraId="28A1E6FD">
      <w:pPr>
        <w:jc w:val="center"/>
        <w:rPr>
          <w:rFonts w:ascii="黑体" w:eastAsia="黑体"/>
          <w:sz w:val="32"/>
          <w:szCs w:val="32"/>
        </w:rPr>
      </w:pPr>
    </w:p>
    <w:p w14:paraId="3EFE4A9A">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39BA16E0">
      <w:pPr>
        <w:spacing w:line="500" w:lineRule="exact"/>
        <w:ind w:firstLine="645"/>
        <w:jc w:val="center"/>
        <w:rPr>
          <w:rFonts w:ascii="宋体" w:hAnsi="宋体" w:cs="宋体"/>
          <w:b/>
          <w:bCs/>
          <w:kern w:val="0"/>
          <w:sz w:val="36"/>
          <w:szCs w:val="36"/>
        </w:rPr>
      </w:pPr>
    </w:p>
    <w:p w14:paraId="42478BCB">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2024年度单位决算报表</w:t>
      </w:r>
    </w:p>
    <w:p w14:paraId="4C931ADF">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32B476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31D75FE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0ED0A3E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76BC776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712C7D5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52AAB4E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2A26D17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0A65EA2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九、国有资本经营预算财政拨款支出决算表</w:t>
      </w:r>
    </w:p>
    <w:p w14:paraId="42C5C49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7D5E768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7F81BB0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十二、政府购买服务决算公开情况表</w:t>
      </w:r>
    </w:p>
    <w:p w14:paraId="6E5EB085">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2024年度</w:t>
      </w:r>
      <w:r>
        <w:rPr>
          <w:rFonts w:hint="eastAsia" w:ascii="宋体" w:hAnsi="宋体"/>
          <w:spacing w:val="40"/>
          <w:sz w:val="32"/>
          <w:szCs w:val="32"/>
          <w:lang w:eastAsia="zh-CN"/>
        </w:rPr>
        <w:t>单位</w:t>
      </w:r>
      <w:r>
        <w:rPr>
          <w:rFonts w:hint="eastAsia" w:ascii="宋体" w:hAnsi="宋体"/>
          <w:spacing w:val="40"/>
          <w:sz w:val="32"/>
          <w:szCs w:val="32"/>
        </w:rPr>
        <w:t>决算说明</w:t>
      </w:r>
    </w:p>
    <w:p w14:paraId="2EA99A52">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2024年度</w:t>
      </w:r>
      <w:r>
        <w:rPr>
          <w:rFonts w:hint="eastAsia" w:ascii="宋体" w:hAnsi="宋体" w:cs="宋体"/>
          <w:spacing w:val="40"/>
          <w:kern w:val="0"/>
          <w:sz w:val="32"/>
          <w:szCs w:val="32"/>
        </w:rPr>
        <w:t>其他重要事项的情况说明</w:t>
      </w:r>
    </w:p>
    <w:p w14:paraId="4E8A2A73">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2024年度</w:t>
      </w:r>
      <w:r>
        <w:rPr>
          <w:rFonts w:hint="eastAsia" w:ascii="宋体" w:hAnsi="宋体" w:cs="宋体"/>
          <w:spacing w:val="40"/>
          <w:kern w:val="0"/>
          <w:sz w:val="32"/>
          <w:szCs w:val="32"/>
          <w:lang w:eastAsia="zh-CN"/>
        </w:rPr>
        <w:t>单位</w:t>
      </w:r>
      <w:r>
        <w:rPr>
          <w:rFonts w:hint="eastAsia" w:ascii="宋体" w:hAnsi="宋体" w:cs="宋体"/>
          <w:spacing w:val="40"/>
          <w:kern w:val="0"/>
          <w:sz w:val="32"/>
          <w:szCs w:val="32"/>
        </w:rPr>
        <w:t>绩效评价情况</w:t>
      </w:r>
    </w:p>
    <w:p w14:paraId="11510E06">
      <w:pPr>
        <w:tabs>
          <w:tab w:val="center" w:pos="6979"/>
        </w:tabs>
        <w:spacing w:before="156" w:beforeLines="50" w:after="156" w:afterLines="50"/>
        <w:jc w:val="both"/>
        <w:rPr>
          <w:rFonts w:ascii="宋体" w:hAnsi="宋体" w:cs="宋体"/>
          <w:b/>
          <w:bCs/>
          <w:spacing w:val="40"/>
          <w:kern w:val="0"/>
          <w:sz w:val="32"/>
          <w:szCs w:val="32"/>
        </w:rPr>
      </w:pPr>
    </w:p>
    <w:p w14:paraId="4A2719B7">
      <w:pPr>
        <w:tabs>
          <w:tab w:val="center" w:pos="6979"/>
        </w:tabs>
        <w:spacing w:before="156" w:beforeLines="50" w:after="156" w:afterLines="50"/>
        <w:jc w:val="both"/>
        <w:rPr>
          <w:rFonts w:ascii="宋体" w:hAnsi="宋体" w:cs="宋体"/>
          <w:b/>
          <w:bCs/>
          <w:spacing w:val="40"/>
          <w:kern w:val="0"/>
          <w:sz w:val="32"/>
          <w:szCs w:val="32"/>
        </w:rPr>
      </w:pPr>
    </w:p>
    <w:p w14:paraId="3F3CB667">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2024年度单位决算报表</w:t>
      </w:r>
    </w:p>
    <w:p w14:paraId="71F3AC6B">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详见附表。</w:t>
      </w:r>
    </w:p>
    <w:p w14:paraId="75F7DD2F">
      <w:pPr>
        <w:tabs>
          <w:tab w:val="center" w:pos="6979"/>
        </w:tabs>
        <w:spacing w:before="217" w:beforeLines="50" w:after="217"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2024年度单位决算说明</w:t>
      </w:r>
    </w:p>
    <w:p w14:paraId="48E966D1">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14:paraId="78DC8796">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北京开放大学是由教育部批准成立、北京市政府举办的高等学校，拥有独立的自主办学权和学位授予权。下设三个部门，分别为办公室、教务处和招生办。</w:t>
      </w:r>
    </w:p>
    <w:p w14:paraId="3DC1D90D">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北京开放大学怀柔分校是北京开放大学下属分校之一。学校坚持“学有所教，有教无类”的办学理念，采用灵活多样的教学手段，实行宽进严出的学习制度，通过教育与技术的深度融合，提供高质量的教育服务，满足首都社会成员多样化、个性化的继续教育和终身学习需求， 促进首都学习型城市建设。</w:t>
      </w:r>
    </w:p>
    <w:p w14:paraId="4C75712F">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怀柔分校举办专、本科现代远程开放教育，开设工商管理、行政管理、会计学、学前教育、社会工作、农村行政管理等专业，开放教育在校生近800人，网络教育在校生近500人；累计毕业生6000多人。同时，广泛开展各类非学历培训，年培训1000多人次，累计培训10000多人次。</w:t>
      </w:r>
    </w:p>
    <w:p w14:paraId="0CC8E998">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学校发挥开放大学系统的办学优势，以保证教学质量为中心，为广大学员学习提供直接有效的支持服务。学校通过系统的专业教育，提高学生的科学、文化和管理水平，培养学生良好的综合素质和创新能力，使其成为我区社会发展和经济建设需要的应用型专门人才。</w:t>
      </w:r>
    </w:p>
    <w:p w14:paraId="3D023382">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44C2A9B5">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1222.08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减少101.18万元，下降7.65%。</w:t>
      </w:r>
    </w:p>
    <w:p w14:paraId="3F9DB538">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14:paraId="1AC259A6">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2024年度本年收入合计</w:t>
      </w:r>
      <w:r>
        <w:rPr>
          <w:rFonts w:ascii="仿宋_GB2312" w:eastAsia="仿宋_GB2312"/>
          <w:sz w:val="28"/>
          <w:szCs w:val="28"/>
        </w:rPr>
        <w:t>700.2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减少115.78万元，下降14.19%。</w:t>
      </w:r>
    </w:p>
    <w:p w14:paraId="07FE178C">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1.财政拨款收入</w:t>
      </w:r>
      <w:r>
        <w:rPr>
          <w:rFonts w:ascii="仿宋_GB2312" w:eastAsia="仿宋_GB2312"/>
          <w:sz w:val="28"/>
          <w:szCs w:val="28"/>
        </w:rPr>
        <w:t>591.82</w:t>
      </w:r>
      <w:r>
        <w:rPr>
          <w:rFonts w:hint="eastAsia" w:ascii="仿宋_GB2312" w:eastAsia="仿宋_GB2312"/>
          <w:sz w:val="28"/>
          <w:szCs w:val="28"/>
        </w:rPr>
        <w:t>万元，占收入合计的84.52%。其中：一般公共预算财政拨款收入</w:t>
      </w:r>
      <w:r>
        <w:rPr>
          <w:rFonts w:ascii="仿宋_GB2312" w:eastAsia="仿宋_GB2312"/>
          <w:sz w:val="28"/>
          <w:szCs w:val="28"/>
        </w:rPr>
        <w:t>591.82</w:t>
      </w:r>
      <w:r>
        <w:rPr>
          <w:rFonts w:hint="eastAsia" w:ascii="仿宋_GB2312" w:eastAsia="仿宋_GB2312"/>
          <w:sz w:val="28"/>
          <w:szCs w:val="28"/>
        </w:rPr>
        <w:t>万元，占收入合计的84.52%；政府性基金预算财政拨款收入</w:t>
      </w:r>
      <w:r>
        <w:rPr>
          <w:rFonts w:ascii="仿宋_GB2312" w:eastAsia="仿宋_GB2312"/>
          <w:sz w:val="28"/>
          <w:szCs w:val="28"/>
        </w:rPr>
        <w:t>0</w:t>
      </w:r>
      <w:r>
        <w:rPr>
          <w:rFonts w:hint="eastAsia" w:ascii="仿宋_GB2312" w:eastAsia="仿宋_GB2312"/>
          <w:sz w:val="28"/>
          <w:szCs w:val="28"/>
        </w:rPr>
        <w:t>万元，占收入合计的0%；国有资本经营预算财政拨款收入</w:t>
      </w:r>
      <w:r>
        <w:rPr>
          <w:rFonts w:ascii="仿宋_GB2312" w:eastAsia="仿宋_GB2312"/>
          <w:sz w:val="28"/>
          <w:szCs w:val="28"/>
        </w:rPr>
        <w:t>0</w:t>
      </w:r>
      <w:r>
        <w:rPr>
          <w:rFonts w:hint="eastAsia" w:ascii="仿宋_GB2312" w:eastAsia="仿宋_GB2312"/>
          <w:sz w:val="28"/>
          <w:szCs w:val="28"/>
        </w:rPr>
        <w:t>万元，占收入合计的0%；</w:t>
      </w:r>
    </w:p>
    <w:p w14:paraId="08FC518E">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万元，占收入合计的0%；</w:t>
      </w:r>
    </w:p>
    <w:p w14:paraId="1B42F1F0">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95.31</w:t>
      </w:r>
      <w:r>
        <w:rPr>
          <w:rFonts w:hint="eastAsia" w:ascii="仿宋_GB2312" w:eastAsia="仿宋_GB2312"/>
          <w:sz w:val="28"/>
          <w:szCs w:val="28"/>
        </w:rPr>
        <w:t>万元，占收入合计的13.61%；</w:t>
      </w:r>
    </w:p>
    <w:p w14:paraId="73FD36C0">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万元，占收入合计的0%；</w:t>
      </w:r>
    </w:p>
    <w:p w14:paraId="114104D2">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万元，占收入合计的0%；</w:t>
      </w:r>
    </w:p>
    <w:p w14:paraId="25F35623">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13.07</w:t>
      </w:r>
      <w:r>
        <w:rPr>
          <w:rFonts w:hint="eastAsia" w:ascii="仿宋_GB2312" w:eastAsia="仿宋_GB2312"/>
          <w:sz w:val="28"/>
          <w:szCs w:val="28"/>
        </w:rPr>
        <w:t>万元，占收入合计的1.87%。</w:t>
      </w:r>
    </w:p>
    <w:p w14:paraId="06EB74B3">
      <w:pPr>
        <w:pStyle w:val="3"/>
        <w:jc w:val="center"/>
      </w:pPr>
      <w:r>
        <w:rPr>
          <w:rFonts w:hint="eastAsia" w:ascii="仿宋_GB2312" w:eastAsia="仿宋_GB2312"/>
          <w:color w:val="000000"/>
          <w:sz w:val="32"/>
        </w:rPr>
        <w:t>图1：收入预算</w:t>
      </w:r>
    </w:p>
    <w:p w14:paraId="238D8219">
      <w:pPr>
        <w:pStyle w:val="4"/>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248AA81B">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1DD5111F">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2024年度本年支出合计</w:t>
      </w:r>
      <w:r>
        <w:rPr>
          <w:rFonts w:ascii="仿宋_GB2312" w:eastAsia="仿宋_GB2312"/>
          <w:sz w:val="28"/>
          <w:szCs w:val="28"/>
        </w:rPr>
        <w:t>711.03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减少101.35万元，下降12.65%，其中：基本支出</w:t>
      </w:r>
      <w:r>
        <w:rPr>
          <w:rFonts w:ascii="仿宋_GB2312" w:eastAsia="仿宋_GB2312"/>
          <w:sz w:val="28"/>
          <w:szCs w:val="28"/>
        </w:rPr>
        <w:t>590.91</w:t>
      </w:r>
      <w:r>
        <w:rPr>
          <w:rFonts w:hint="eastAsia" w:ascii="仿宋_GB2312" w:eastAsia="仿宋_GB2312"/>
          <w:sz w:val="28"/>
          <w:szCs w:val="28"/>
        </w:rPr>
        <w:t>万元，占支出合计的83.11%；项目支出</w:t>
      </w:r>
      <w:r>
        <w:rPr>
          <w:rFonts w:ascii="仿宋_GB2312" w:eastAsia="仿宋_GB2312"/>
          <w:sz w:val="28"/>
          <w:szCs w:val="28"/>
        </w:rPr>
        <w:t>120.13</w:t>
      </w:r>
      <w:r>
        <w:rPr>
          <w:rFonts w:hint="eastAsia" w:ascii="仿宋_GB2312" w:eastAsia="仿宋_GB2312"/>
          <w:sz w:val="28"/>
          <w:szCs w:val="28"/>
        </w:rPr>
        <w:t>万元，占支出合计的16.89%;上缴上级支出</w:t>
      </w:r>
      <w:r>
        <w:rPr>
          <w:rFonts w:ascii="仿宋_GB2312" w:eastAsia="仿宋_GB2312"/>
          <w:sz w:val="28"/>
          <w:szCs w:val="28"/>
        </w:rPr>
        <w:t>0</w:t>
      </w:r>
      <w:r>
        <w:rPr>
          <w:rFonts w:hint="eastAsia" w:ascii="仿宋_GB2312" w:eastAsia="仿宋_GB2312"/>
          <w:sz w:val="28"/>
          <w:szCs w:val="28"/>
        </w:rPr>
        <w:t>万元，占支出合计的0%；经营支出</w:t>
      </w:r>
      <w:r>
        <w:rPr>
          <w:rFonts w:ascii="仿宋_GB2312" w:eastAsia="仿宋_GB2312"/>
          <w:sz w:val="28"/>
          <w:szCs w:val="28"/>
        </w:rPr>
        <w:t>0</w:t>
      </w:r>
      <w:r>
        <w:rPr>
          <w:rFonts w:hint="eastAsia" w:ascii="仿宋_GB2312" w:eastAsia="仿宋_GB2312"/>
          <w:sz w:val="28"/>
          <w:szCs w:val="28"/>
        </w:rPr>
        <w:t>万元，占支出合计的0%；对附属单位补助支出</w:t>
      </w:r>
      <w:r>
        <w:rPr>
          <w:rFonts w:ascii="仿宋_GB2312" w:eastAsia="仿宋_GB2312"/>
          <w:sz w:val="28"/>
          <w:szCs w:val="28"/>
        </w:rPr>
        <w:t>0</w:t>
      </w:r>
      <w:r>
        <w:rPr>
          <w:rFonts w:hint="eastAsia" w:ascii="仿宋_GB2312" w:eastAsia="仿宋_GB2312"/>
          <w:sz w:val="28"/>
          <w:szCs w:val="28"/>
        </w:rPr>
        <w:t>万元，占支出合计的0%。</w:t>
      </w:r>
    </w:p>
    <w:p w14:paraId="0E190B1F">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7ECBD02C">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BC84D49">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75EBF281">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602.4</w:t>
      </w:r>
      <w:r>
        <w:rPr>
          <w:rFonts w:hint="eastAsia" w:ascii="仿宋_GB2312" w:eastAsia="仿宋_GB2312"/>
          <w:sz w:val="28"/>
          <w:szCs w:val="28"/>
        </w:rPr>
        <w:t>万元，比上年减少87.52万元，下降12.88%。主要原因：人员变动较大，导致人员工资减少。</w:t>
      </w:r>
    </w:p>
    <w:p w14:paraId="08F93D50">
      <w:pPr>
        <w:tabs>
          <w:tab w:val="center" w:pos="6979"/>
        </w:tabs>
        <w:spacing w:line="580" w:lineRule="exact"/>
        <w:ind w:firstLine="560" w:firstLineChars="200"/>
        <w:rPr>
          <w:rFonts w:ascii="黑体" w:eastAsia="黑体"/>
          <w:b/>
          <w:sz w:val="28"/>
          <w:szCs w:val="28"/>
        </w:rPr>
      </w:pPr>
      <w:r>
        <w:rPr>
          <w:rFonts w:hint="eastAsia" w:ascii="黑体" w:eastAsia="黑体"/>
          <w:b/>
          <w:sz w:val="28"/>
          <w:szCs w:val="28"/>
        </w:rPr>
        <w:t>四、一般公共预算财政拨款支出决算情况说明</w:t>
      </w:r>
    </w:p>
    <w:p w14:paraId="3747D896">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14:paraId="0DCE85CD">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2024年度一般公共预算财政拨款支出</w:t>
      </w:r>
      <w:r>
        <w:rPr>
          <w:rFonts w:ascii="仿宋_GB2312" w:eastAsia="仿宋_GB2312"/>
          <w:sz w:val="28"/>
          <w:szCs w:val="28"/>
        </w:rPr>
        <w:t>590.91</w:t>
      </w:r>
      <w:r>
        <w:rPr>
          <w:rFonts w:hint="eastAsia" w:ascii="仿宋_GB2312" w:eastAsia="仿宋_GB2312"/>
          <w:sz w:val="28"/>
          <w:szCs w:val="28"/>
        </w:rPr>
        <w:t>万元，主要用于以下方面（按大类）：教育支出496.13万元，占本年财政拨款支出83.96%；社会保障和就业支出94.78万元，占本年财政拨款支出16.04%。</w:t>
      </w:r>
    </w:p>
    <w:p w14:paraId="3CA6E22A">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14:paraId="0094F674">
      <w:pPr>
        <w:spacing w:line="580" w:lineRule="exact"/>
        <w:ind w:firstLine="560" w:firstLineChars="200"/>
        <w:rPr>
          <w:rFonts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、“教育支出”(类)</w:t>
      </w:r>
      <w:r>
        <w:rPr>
          <w:rFonts w:hint="eastAsia" w:ascii="仿宋_GB2312" w:eastAsia="仿宋_GB2312"/>
          <w:sz w:val="28"/>
          <w:szCs w:val="28"/>
          <w:lang w:val="en-US" w:eastAsia="zh-CN"/>
        </w:rPr>
        <w:t>2024年度年初预算数504.63万元，</w:t>
      </w:r>
      <w:r>
        <w:rPr>
          <w:rFonts w:hint="eastAsia" w:ascii="仿宋_GB2312" w:eastAsia="仿宋_GB2312"/>
          <w:sz w:val="28"/>
          <w:szCs w:val="28"/>
        </w:rPr>
        <w:t>2024年度决算496.13万元，</w:t>
      </w:r>
      <w:r>
        <w:rPr>
          <w:rFonts w:hint="eastAsia" w:ascii="仿宋_GB2312" w:eastAsia="仿宋_GB2312"/>
          <w:sz w:val="28"/>
          <w:szCs w:val="28"/>
          <w:lang w:eastAsia="zh-CN"/>
        </w:rPr>
        <w:t>完成年初预算数的</w:t>
      </w:r>
      <w:r>
        <w:rPr>
          <w:rFonts w:hint="eastAsia" w:ascii="仿宋_GB2312" w:eastAsia="仿宋_GB2312"/>
          <w:sz w:val="28"/>
          <w:szCs w:val="28"/>
          <w:lang w:val="en-US" w:eastAsia="zh-CN"/>
        </w:rPr>
        <w:t>98.32%</w:t>
      </w:r>
      <w:r>
        <w:rPr>
          <w:rFonts w:hint="eastAsia" w:ascii="仿宋_GB2312" w:eastAsia="仿宋_GB2312"/>
          <w:sz w:val="28"/>
          <w:szCs w:val="28"/>
        </w:rPr>
        <w:t>。其中：</w:t>
      </w:r>
    </w:p>
    <w:p w14:paraId="516A9AB8">
      <w:pPr>
        <w:spacing w:line="580" w:lineRule="exact"/>
        <w:ind w:firstLine="560" w:firstLineChars="200"/>
        <w:rPr>
          <w:rFonts w:ascii="仿宋_GB2312" w:eastAsia="仿宋_GB2312"/>
          <w:sz w:val="28"/>
          <w:szCs w:val="28"/>
        </w:rPr>
      </w:pPr>
      <w:r>
        <w:rPr>
          <w:rFonts w:hint="eastAsia" w:ascii="仿宋_GB2312" w:eastAsia="仿宋_GB2312"/>
          <w:sz w:val="28"/>
          <w:szCs w:val="28"/>
        </w:rPr>
        <w:t>“成人高等教育”（款）</w:t>
      </w:r>
      <w:r>
        <w:rPr>
          <w:rFonts w:hint="eastAsia" w:ascii="仿宋_GB2312" w:eastAsia="仿宋_GB2312"/>
          <w:sz w:val="28"/>
          <w:szCs w:val="28"/>
          <w:lang w:val="en-US" w:eastAsia="zh-CN"/>
        </w:rPr>
        <w:t>2024年度年初预算数504.63万元，</w:t>
      </w:r>
      <w:r>
        <w:rPr>
          <w:rFonts w:hint="eastAsia" w:ascii="仿宋_GB2312" w:eastAsia="仿宋_GB2312"/>
          <w:sz w:val="28"/>
          <w:szCs w:val="28"/>
        </w:rPr>
        <w:t>2024年度决算496.13万元，</w:t>
      </w:r>
      <w:r>
        <w:rPr>
          <w:rFonts w:hint="eastAsia" w:ascii="仿宋_GB2312" w:eastAsia="仿宋_GB2312"/>
          <w:sz w:val="28"/>
          <w:szCs w:val="28"/>
          <w:lang w:eastAsia="zh-CN"/>
        </w:rPr>
        <w:t>完成年初预算数的</w:t>
      </w:r>
      <w:r>
        <w:rPr>
          <w:rFonts w:hint="eastAsia" w:ascii="仿宋_GB2312" w:eastAsia="仿宋_GB2312"/>
          <w:sz w:val="28"/>
          <w:szCs w:val="28"/>
          <w:lang w:val="en-US" w:eastAsia="zh-CN"/>
        </w:rPr>
        <w:t>98.32%。</w:t>
      </w:r>
      <w:r>
        <w:rPr>
          <w:rFonts w:hint="eastAsia" w:ascii="仿宋_GB2312" w:eastAsia="仿宋_GB2312"/>
          <w:sz w:val="28"/>
          <w:szCs w:val="28"/>
        </w:rPr>
        <w:t>主要原因：人员流动减少人员月数比增加月数多。</w:t>
      </w:r>
    </w:p>
    <w:p w14:paraId="244CB706">
      <w:pPr>
        <w:spacing w:line="580" w:lineRule="exact"/>
        <w:ind w:firstLine="560" w:firstLineChars="200"/>
        <w:rPr>
          <w:rFonts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、“社会保障和就业支出”(类)</w:t>
      </w:r>
      <w:r>
        <w:rPr>
          <w:rFonts w:hint="eastAsia" w:ascii="仿宋_GB2312" w:eastAsia="仿宋_GB2312"/>
          <w:sz w:val="28"/>
          <w:szCs w:val="28"/>
          <w:lang w:val="en-US" w:eastAsia="zh-CN"/>
        </w:rPr>
        <w:t>2024年度年初预算数107.32万元，</w:t>
      </w:r>
      <w:r>
        <w:rPr>
          <w:rFonts w:hint="eastAsia" w:ascii="仿宋_GB2312" w:eastAsia="仿宋_GB2312"/>
          <w:sz w:val="28"/>
          <w:szCs w:val="28"/>
        </w:rPr>
        <w:t>2024年度决算94.78万元，</w:t>
      </w:r>
      <w:r>
        <w:rPr>
          <w:rFonts w:hint="eastAsia" w:ascii="仿宋_GB2312" w:eastAsia="仿宋_GB2312"/>
          <w:sz w:val="28"/>
          <w:szCs w:val="28"/>
          <w:lang w:eastAsia="zh-CN"/>
        </w:rPr>
        <w:t>完成年初预算数的</w:t>
      </w:r>
      <w:r>
        <w:rPr>
          <w:rFonts w:hint="eastAsia" w:ascii="仿宋_GB2312" w:eastAsia="仿宋_GB2312"/>
          <w:sz w:val="28"/>
          <w:szCs w:val="28"/>
          <w:lang w:val="en-US" w:eastAsia="zh-CN"/>
        </w:rPr>
        <w:t>88.32%</w:t>
      </w:r>
      <w:r>
        <w:rPr>
          <w:rFonts w:hint="eastAsia" w:ascii="仿宋_GB2312" w:eastAsia="仿宋_GB2312"/>
          <w:sz w:val="28"/>
          <w:szCs w:val="28"/>
        </w:rPr>
        <w:t>。其中：</w:t>
      </w:r>
    </w:p>
    <w:p w14:paraId="3CD2C082">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“行政事业单位养老支出”（款）</w:t>
      </w:r>
      <w:r>
        <w:rPr>
          <w:rFonts w:hint="eastAsia" w:ascii="仿宋_GB2312" w:eastAsia="仿宋_GB2312"/>
          <w:sz w:val="28"/>
          <w:szCs w:val="28"/>
          <w:lang w:val="en-US" w:eastAsia="zh-CN"/>
        </w:rPr>
        <w:t>2024年度年初预算数65.17万元，</w:t>
      </w:r>
      <w:r>
        <w:rPr>
          <w:rFonts w:hint="eastAsia" w:ascii="仿宋_GB2312" w:eastAsia="仿宋_GB2312"/>
          <w:sz w:val="28"/>
          <w:szCs w:val="28"/>
        </w:rPr>
        <w:t>2024年度决算55.96万元，</w:t>
      </w:r>
      <w:r>
        <w:rPr>
          <w:rFonts w:hint="eastAsia" w:ascii="仿宋_GB2312" w:eastAsia="仿宋_GB2312"/>
          <w:sz w:val="28"/>
          <w:szCs w:val="28"/>
          <w:lang w:eastAsia="zh-CN"/>
        </w:rPr>
        <w:t>完成年初预算数的</w:t>
      </w:r>
      <w:r>
        <w:rPr>
          <w:rFonts w:hint="eastAsia" w:ascii="仿宋_GB2312" w:eastAsia="仿宋_GB2312"/>
          <w:sz w:val="28"/>
          <w:szCs w:val="28"/>
          <w:lang w:val="en-US" w:eastAsia="zh-CN"/>
        </w:rPr>
        <w:t>85.87%。</w:t>
      </w:r>
      <w:r>
        <w:rPr>
          <w:rFonts w:hint="eastAsia" w:ascii="仿宋_GB2312" w:eastAsia="仿宋_GB2312"/>
          <w:sz w:val="28"/>
          <w:szCs w:val="28"/>
        </w:rPr>
        <w:t>主要原因：人员流动减少人员月数比增加月数多。</w:t>
      </w:r>
    </w:p>
    <w:p w14:paraId="69BBF641">
      <w:pPr>
        <w:spacing w:line="580" w:lineRule="exact"/>
        <w:ind w:firstLine="560" w:firstLineChars="200"/>
        <w:rPr>
          <w:rFonts w:ascii="仿宋_GB2312" w:eastAsia="仿宋_GB2312"/>
          <w:sz w:val="28"/>
          <w:szCs w:val="28"/>
        </w:rPr>
      </w:pPr>
      <w:r>
        <w:rPr>
          <w:rFonts w:hint="eastAsia" w:ascii="仿宋_GB2312" w:eastAsia="仿宋_GB2312"/>
          <w:sz w:val="28"/>
          <w:szCs w:val="28"/>
        </w:rPr>
        <w:t>“事业单位离退休”（款）</w:t>
      </w:r>
      <w:r>
        <w:rPr>
          <w:rFonts w:hint="eastAsia" w:ascii="仿宋_GB2312" w:eastAsia="仿宋_GB2312"/>
          <w:sz w:val="28"/>
          <w:szCs w:val="28"/>
          <w:lang w:val="en-US" w:eastAsia="zh-CN"/>
        </w:rPr>
        <w:t>2024年度年初预算数9.58万元，</w:t>
      </w:r>
      <w:r>
        <w:rPr>
          <w:rFonts w:hint="eastAsia" w:ascii="仿宋_GB2312" w:eastAsia="仿宋_GB2312"/>
          <w:sz w:val="28"/>
          <w:szCs w:val="28"/>
        </w:rPr>
        <w:t>2024年度决算10.94万元，</w:t>
      </w:r>
      <w:r>
        <w:rPr>
          <w:rFonts w:hint="eastAsia" w:ascii="仿宋_GB2312" w:eastAsia="仿宋_GB2312"/>
          <w:sz w:val="28"/>
          <w:szCs w:val="28"/>
          <w:lang w:eastAsia="zh-CN"/>
        </w:rPr>
        <w:t>完成年初预算数的</w:t>
      </w:r>
      <w:r>
        <w:rPr>
          <w:rFonts w:hint="eastAsia" w:ascii="仿宋_GB2312" w:eastAsia="仿宋_GB2312"/>
          <w:sz w:val="28"/>
          <w:szCs w:val="28"/>
          <w:lang w:val="en-US" w:eastAsia="zh-CN"/>
        </w:rPr>
        <w:t>114.20%。</w:t>
      </w:r>
      <w:r>
        <w:rPr>
          <w:rFonts w:hint="eastAsia" w:ascii="仿宋_GB2312" w:eastAsia="仿宋_GB2312"/>
          <w:sz w:val="28"/>
          <w:szCs w:val="28"/>
        </w:rPr>
        <w:t>主要原因：退休人员增加。</w:t>
      </w:r>
    </w:p>
    <w:p w14:paraId="315260C7">
      <w:pPr>
        <w:spacing w:line="580" w:lineRule="exact"/>
        <w:ind w:firstLine="560" w:firstLineChars="200"/>
        <w:rPr>
          <w:rFonts w:ascii="仿宋_GB2312" w:eastAsia="仿宋_GB2312"/>
          <w:sz w:val="28"/>
          <w:szCs w:val="28"/>
        </w:rPr>
      </w:pPr>
      <w:r>
        <w:rPr>
          <w:rFonts w:hint="eastAsia" w:ascii="仿宋_GB2312" w:eastAsia="仿宋_GB2312"/>
          <w:sz w:val="28"/>
          <w:szCs w:val="28"/>
        </w:rPr>
        <w:t>“机关事业单位职业年金缴费支出”（款）</w:t>
      </w:r>
      <w:r>
        <w:rPr>
          <w:rFonts w:hint="eastAsia" w:ascii="仿宋_GB2312" w:eastAsia="仿宋_GB2312"/>
          <w:sz w:val="28"/>
          <w:szCs w:val="28"/>
          <w:lang w:val="en-US" w:eastAsia="zh-CN"/>
        </w:rPr>
        <w:t>2024年度年初预算数32.58万元，</w:t>
      </w:r>
      <w:r>
        <w:rPr>
          <w:rFonts w:hint="eastAsia" w:ascii="仿宋_GB2312" w:eastAsia="仿宋_GB2312"/>
          <w:sz w:val="28"/>
          <w:szCs w:val="28"/>
        </w:rPr>
        <w:t>2024年度决算27.89万元，</w:t>
      </w:r>
      <w:r>
        <w:rPr>
          <w:rFonts w:hint="eastAsia" w:ascii="仿宋_GB2312" w:eastAsia="仿宋_GB2312"/>
          <w:sz w:val="28"/>
          <w:szCs w:val="28"/>
          <w:lang w:eastAsia="zh-CN"/>
        </w:rPr>
        <w:t>完成年初预算数的</w:t>
      </w:r>
      <w:r>
        <w:rPr>
          <w:rFonts w:hint="eastAsia" w:ascii="仿宋_GB2312" w:eastAsia="仿宋_GB2312"/>
          <w:sz w:val="28"/>
          <w:szCs w:val="28"/>
          <w:lang w:val="en-US" w:eastAsia="zh-CN"/>
        </w:rPr>
        <w:t>85.60%。</w:t>
      </w:r>
      <w:r>
        <w:rPr>
          <w:rFonts w:hint="eastAsia" w:ascii="仿宋_GB2312" w:eastAsia="仿宋_GB2312"/>
          <w:sz w:val="28"/>
          <w:szCs w:val="28"/>
        </w:rPr>
        <w:t>主要原因：人员流动减少人员月数比增加月数多。</w:t>
      </w:r>
    </w:p>
    <w:p w14:paraId="21F5E4B1">
      <w:pPr>
        <w:spacing w:line="580" w:lineRule="exact"/>
        <w:ind w:firstLine="560" w:firstLineChars="200"/>
        <w:rPr>
          <w:rFonts w:ascii="仿宋_GB2312" w:eastAsia="仿宋_GB2312"/>
          <w:sz w:val="28"/>
          <w:szCs w:val="28"/>
        </w:rPr>
      </w:pPr>
    </w:p>
    <w:p w14:paraId="64008282">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14:paraId="375820D9">
      <w:pPr>
        <w:spacing w:line="580" w:lineRule="exact"/>
        <w:ind w:firstLine="560" w:firstLineChars="200"/>
        <w:rPr>
          <w:rFonts w:ascii="仿宋_GB2312" w:eastAsia="仿宋_GB2312"/>
          <w:sz w:val="28"/>
          <w:szCs w:val="28"/>
        </w:rPr>
      </w:pPr>
      <w:r>
        <w:rPr>
          <w:rFonts w:hint="eastAsia" w:ascii="仿宋_GB2312" w:eastAsia="仿宋_GB2312"/>
          <w:sz w:val="28"/>
          <w:szCs w:val="28"/>
        </w:rPr>
        <w:t>2024年度政府性基金预算财政拨款支出</w:t>
      </w:r>
      <w:r>
        <w:rPr>
          <w:rFonts w:ascii="仿宋_GB2312" w:eastAsia="仿宋_GB2312"/>
          <w:sz w:val="28"/>
          <w:szCs w:val="28"/>
        </w:rPr>
        <w:t>0</w:t>
      </w:r>
      <w:r>
        <w:rPr>
          <w:rFonts w:hint="eastAsia" w:ascii="仿宋_GB2312" w:eastAsia="仿宋_GB2312"/>
          <w:sz w:val="28"/>
          <w:szCs w:val="28"/>
        </w:rPr>
        <w:t>万元。</w:t>
      </w:r>
    </w:p>
    <w:p w14:paraId="0EE87C17">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6B80A4AF">
      <w:pPr>
        <w:ind w:firstLine="537" w:firstLineChars="192"/>
        <w:rPr>
          <w:rFonts w:ascii="仿宋_GB2312" w:eastAsia="仿宋_GB2312"/>
          <w:sz w:val="28"/>
          <w:szCs w:val="28"/>
        </w:rPr>
      </w:pPr>
      <w:r>
        <w:rPr>
          <w:rFonts w:hint="eastAsia" w:ascii="仿宋_GB2312" w:eastAsia="仿宋_GB2312"/>
          <w:sz w:val="28"/>
          <w:szCs w:val="28"/>
        </w:rPr>
        <w:t>2024年度国有资本经营预算财政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0B87F4CD">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14:paraId="1EBE785A">
      <w:pPr>
        <w:tabs>
          <w:tab w:val="center" w:pos="6979"/>
        </w:tabs>
        <w:spacing w:line="580" w:lineRule="exact"/>
        <w:ind w:firstLine="548" w:firstLineChars="196"/>
        <w:rPr>
          <w:rFonts w:ascii="宋体" w:hAnsi="宋体"/>
          <w:b/>
          <w:spacing w:val="40"/>
          <w:sz w:val="32"/>
          <w:szCs w:val="32"/>
        </w:rPr>
      </w:pPr>
      <w:r>
        <w:rPr>
          <w:rFonts w:hint="eastAsia" w:ascii="仿宋_GB2312" w:eastAsia="仿宋_GB2312"/>
          <w:sz w:val="28"/>
          <w:szCs w:val="28"/>
        </w:rPr>
        <w:t>2024年度使用一般公共预算财政拨款安排基本支出</w:t>
      </w:r>
      <w:r>
        <w:rPr>
          <w:rFonts w:ascii="仿宋_GB2312" w:eastAsia="仿宋_GB2312"/>
          <w:sz w:val="28"/>
          <w:szCs w:val="28"/>
        </w:rPr>
        <w:t>590.91</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4F9E52D6">
      <w:pPr>
        <w:tabs>
          <w:tab w:val="center" w:pos="6979"/>
        </w:tabs>
        <w:jc w:val="center"/>
        <w:rPr>
          <w:rFonts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14:paraId="58236E9C">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14:paraId="0D85B28A">
      <w:pPr>
        <w:spacing w:line="560" w:lineRule="exact"/>
        <w:ind w:firstLine="600"/>
        <w:rPr>
          <w:rFonts w:ascii="仿宋_GB2312" w:eastAsia="仿宋_GB2312"/>
          <w:sz w:val="28"/>
          <w:szCs w:val="28"/>
        </w:rPr>
      </w:pPr>
      <w:r>
        <w:rPr>
          <w:rFonts w:hint="eastAsia" w:ascii="仿宋_GB2312" w:eastAsia="仿宋_GB2312"/>
          <w:sz w:val="28"/>
          <w:szCs w:val="28"/>
        </w:rPr>
        <w:t>2024年度“三公”经费财政拨款决算数</w:t>
      </w:r>
      <w:r>
        <w:rPr>
          <w:rFonts w:ascii="仿宋_GB2312" w:eastAsia="仿宋_GB2312"/>
          <w:sz w:val="28"/>
          <w:szCs w:val="28"/>
        </w:rPr>
        <w:t>2.06</w:t>
      </w:r>
      <w:r>
        <w:rPr>
          <w:rFonts w:hint="eastAsia" w:ascii="仿宋_GB2312" w:eastAsia="仿宋_GB2312"/>
          <w:sz w:val="28"/>
          <w:szCs w:val="28"/>
        </w:rPr>
        <w:t>万元，比2024年度“三公”经费财政拨款年初预算</w:t>
      </w:r>
      <w:r>
        <w:rPr>
          <w:rFonts w:ascii="仿宋_GB2312" w:eastAsia="仿宋_GB2312"/>
          <w:sz w:val="28"/>
          <w:szCs w:val="28"/>
        </w:rPr>
        <w:t>2.37</w:t>
      </w:r>
      <w:r>
        <w:rPr>
          <w:rFonts w:hint="eastAsia" w:ascii="仿宋_GB2312" w:eastAsia="仿宋_GB2312"/>
          <w:sz w:val="28"/>
          <w:szCs w:val="28"/>
        </w:rPr>
        <w:t>万元减少</w:t>
      </w:r>
      <w:r>
        <w:rPr>
          <w:rFonts w:ascii="仿宋_GB2312" w:eastAsia="仿宋_GB2312"/>
          <w:sz w:val="28"/>
          <w:szCs w:val="28"/>
        </w:rPr>
        <w:t>0.31</w:t>
      </w:r>
      <w:r>
        <w:rPr>
          <w:rFonts w:hint="eastAsia" w:ascii="仿宋_GB2312" w:eastAsia="仿宋_GB2312"/>
          <w:sz w:val="28"/>
          <w:szCs w:val="28"/>
        </w:rPr>
        <w:t>万元。其中：</w:t>
      </w:r>
    </w:p>
    <w:p w14:paraId="1BB818E8">
      <w:pPr>
        <w:spacing w:line="560" w:lineRule="exact"/>
        <w:ind w:firstLine="600"/>
        <w:rPr>
          <w:rFonts w:ascii="仿宋_GB2312" w:eastAsia="仿宋_GB2312"/>
          <w:sz w:val="28"/>
          <w:szCs w:val="28"/>
        </w:rPr>
      </w:pPr>
      <w:r>
        <w:rPr>
          <w:rFonts w:hint="eastAsia" w:ascii="仿宋_GB2312" w:eastAsia="仿宋_GB2312"/>
          <w:sz w:val="28"/>
          <w:szCs w:val="28"/>
        </w:rPr>
        <w:t>1.因公出国（境）费用。2024年度决算数</w:t>
      </w:r>
      <w:r>
        <w:rPr>
          <w:rFonts w:ascii="仿宋_GB2312" w:eastAsia="仿宋_GB2312"/>
          <w:sz w:val="28"/>
          <w:szCs w:val="28"/>
        </w:rPr>
        <w:t>0</w:t>
      </w:r>
      <w:r>
        <w:rPr>
          <w:rFonts w:hint="eastAsia" w:ascii="仿宋_GB2312" w:eastAsia="仿宋_GB2312"/>
          <w:sz w:val="28"/>
          <w:szCs w:val="28"/>
        </w:rPr>
        <w:t>万元，比2024年度年初预算数</w:t>
      </w:r>
      <w:r>
        <w:rPr>
          <w:rFonts w:ascii="仿宋_GB2312" w:eastAsia="仿宋_GB2312"/>
          <w:sz w:val="28"/>
          <w:szCs w:val="28"/>
        </w:rPr>
        <w:t>0</w:t>
      </w:r>
      <w:r>
        <w:rPr>
          <w:rFonts w:hint="eastAsia" w:ascii="仿宋_GB2312" w:eastAsia="仿宋_GB2312"/>
          <w:sz w:val="28"/>
          <w:szCs w:val="28"/>
        </w:rPr>
        <w:t>万元增加（减少）</w:t>
      </w:r>
      <w:r>
        <w:rPr>
          <w:rFonts w:ascii="仿宋_GB2312" w:eastAsia="仿宋_GB2312"/>
          <w:sz w:val="28"/>
          <w:szCs w:val="28"/>
        </w:rPr>
        <w:t>0</w:t>
      </w:r>
      <w:r>
        <w:rPr>
          <w:rFonts w:hint="eastAsia" w:ascii="仿宋_GB2312" w:eastAsia="仿宋_GB2312"/>
          <w:sz w:val="28"/>
          <w:szCs w:val="28"/>
        </w:rPr>
        <w:t>万元。；</w:t>
      </w:r>
    </w:p>
    <w:p w14:paraId="47CA770F">
      <w:pPr>
        <w:spacing w:line="560" w:lineRule="exact"/>
        <w:ind w:firstLine="600"/>
        <w:rPr>
          <w:rFonts w:ascii="仿宋_GB2312" w:eastAsia="仿宋_GB2312"/>
          <w:sz w:val="28"/>
          <w:szCs w:val="28"/>
        </w:rPr>
      </w:pPr>
      <w:r>
        <w:rPr>
          <w:rFonts w:hint="eastAsia" w:ascii="仿宋_GB2312" w:eastAsia="仿宋_GB2312"/>
          <w:sz w:val="28"/>
          <w:szCs w:val="28"/>
        </w:rPr>
        <w:t>2.公务接待费。2024年度决算数</w:t>
      </w:r>
      <w:r>
        <w:rPr>
          <w:rFonts w:ascii="仿宋_GB2312" w:eastAsia="仿宋_GB2312"/>
          <w:sz w:val="28"/>
          <w:szCs w:val="28"/>
        </w:rPr>
        <w:t>0</w:t>
      </w:r>
      <w:r>
        <w:rPr>
          <w:rFonts w:hint="eastAsia" w:ascii="仿宋_GB2312" w:eastAsia="仿宋_GB2312"/>
          <w:sz w:val="28"/>
          <w:szCs w:val="28"/>
        </w:rPr>
        <w:t>万元，比2024年度年初预算数</w:t>
      </w:r>
      <w:r>
        <w:rPr>
          <w:rFonts w:ascii="仿宋_GB2312" w:eastAsia="仿宋_GB2312"/>
          <w:sz w:val="28"/>
          <w:szCs w:val="28"/>
        </w:rPr>
        <w:t>0.27</w:t>
      </w:r>
      <w:r>
        <w:rPr>
          <w:rFonts w:hint="eastAsia" w:ascii="仿宋_GB2312" w:eastAsia="仿宋_GB2312"/>
          <w:sz w:val="28"/>
          <w:szCs w:val="28"/>
        </w:rPr>
        <w:t>万元减少0</w:t>
      </w:r>
      <w:r>
        <w:rPr>
          <w:rFonts w:ascii="仿宋_GB2312" w:eastAsia="仿宋_GB2312"/>
          <w:sz w:val="28"/>
          <w:szCs w:val="28"/>
        </w:rPr>
        <w:t>.27</w:t>
      </w:r>
      <w:r>
        <w:rPr>
          <w:rFonts w:hint="eastAsia" w:ascii="仿宋_GB2312" w:eastAsia="仿宋_GB2312"/>
          <w:sz w:val="28"/>
          <w:szCs w:val="28"/>
        </w:rPr>
        <w:t>万元。主要原因：本年度无此项支出。</w:t>
      </w:r>
    </w:p>
    <w:p w14:paraId="7A0031F5">
      <w:pPr>
        <w:spacing w:line="560" w:lineRule="exact"/>
        <w:ind w:firstLine="560" w:firstLineChars="200"/>
        <w:rPr>
          <w:rFonts w:ascii="仿宋_GB2312" w:eastAsia="仿宋_GB2312"/>
          <w:sz w:val="28"/>
          <w:szCs w:val="28"/>
        </w:rPr>
      </w:pPr>
      <w:r>
        <w:rPr>
          <w:rFonts w:hint="eastAsia" w:ascii="仿宋_GB2312" w:eastAsia="仿宋_GB2312"/>
          <w:sz w:val="28"/>
          <w:szCs w:val="28"/>
        </w:rPr>
        <w:t>3.公务用车购置及运行维护费。2024年度决算数</w:t>
      </w:r>
      <w:r>
        <w:rPr>
          <w:rFonts w:ascii="仿宋_GB2312" w:eastAsia="仿宋_GB2312"/>
          <w:sz w:val="28"/>
          <w:szCs w:val="28"/>
        </w:rPr>
        <w:t>2.06</w:t>
      </w:r>
      <w:r>
        <w:rPr>
          <w:rFonts w:hint="eastAsia" w:ascii="仿宋_GB2312" w:eastAsia="仿宋_GB2312"/>
          <w:sz w:val="28"/>
          <w:szCs w:val="28"/>
        </w:rPr>
        <w:t>万元，比2024年度年初预算数</w:t>
      </w:r>
      <w:r>
        <w:rPr>
          <w:rFonts w:ascii="仿宋_GB2312" w:eastAsia="仿宋_GB2312"/>
          <w:sz w:val="28"/>
          <w:szCs w:val="28"/>
        </w:rPr>
        <w:t>2.1</w:t>
      </w:r>
      <w:r>
        <w:rPr>
          <w:rFonts w:hint="eastAsia" w:ascii="仿宋_GB2312" w:eastAsia="仿宋_GB2312"/>
          <w:sz w:val="28"/>
          <w:szCs w:val="28"/>
        </w:rPr>
        <w:t>万元减少</w:t>
      </w:r>
      <w:r>
        <w:rPr>
          <w:rFonts w:ascii="仿宋_GB2312" w:eastAsia="仿宋_GB2312"/>
          <w:sz w:val="28"/>
          <w:szCs w:val="28"/>
        </w:rPr>
        <w:t>0.04</w:t>
      </w:r>
      <w:r>
        <w:rPr>
          <w:rFonts w:hint="eastAsia" w:ascii="仿宋_GB2312" w:eastAsia="仿宋_GB2312"/>
          <w:sz w:val="28"/>
          <w:szCs w:val="28"/>
        </w:rPr>
        <w:t>万元。其中，公务用车购置费2024年度决算数0万元，主要原因：本年度无车辆购置，2024年度购置0辆。公务用车运行维护费2024年度决算数2.06万元，主要原因：车辆进行保养和维修。2024年度公务用车保有量</w:t>
      </w:r>
      <w:r>
        <w:rPr>
          <w:rFonts w:ascii="仿宋_GB2312" w:eastAsia="仿宋_GB2312"/>
          <w:sz w:val="28"/>
          <w:szCs w:val="28"/>
        </w:rPr>
        <w:t>1</w:t>
      </w:r>
      <w:r>
        <w:rPr>
          <w:rFonts w:hint="eastAsia" w:ascii="仿宋_GB2312" w:eastAsia="仿宋_GB2312"/>
          <w:sz w:val="28"/>
          <w:szCs w:val="28"/>
        </w:rPr>
        <w:t>辆。</w:t>
      </w:r>
    </w:p>
    <w:p w14:paraId="5F8780A4">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14:paraId="27945F5C">
      <w:pPr>
        <w:ind w:left="540"/>
        <w:rPr>
          <w:rFonts w:ascii="仿宋_GB2312" w:eastAsia="仿宋_GB2312"/>
          <w:sz w:val="28"/>
          <w:szCs w:val="28"/>
        </w:rPr>
      </w:pPr>
      <w:r>
        <w:rPr>
          <w:rFonts w:hint="eastAsia" w:ascii="仿宋_GB2312" w:eastAsia="仿宋_GB2312"/>
          <w:sz w:val="28"/>
          <w:szCs w:val="28"/>
        </w:rPr>
        <w:t>本单位不属于机关运行经费统计范围。</w:t>
      </w:r>
    </w:p>
    <w:p w14:paraId="2AC49CB9">
      <w:pPr>
        <w:ind w:left="540"/>
        <w:rPr>
          <w:rFonts w:ascii="黑体" w:eastAsia="黑体"/>
          <w:sz w:val="28"/>
          <w:szCs w:val="28"/>
        </w:rPr>
      </w:pPr>
      <w:r>
        <w:rPr>
          <w:rFonts w:hint="eastAsia" w:ascii="黑体" w:eastAsia="黑体"/>
          <w:sz w:val="28"/>
          <w:szCs w:val="28"/>
        </w:rPr>
        <w:t>三、政府采购支出情况</w:t>
      </w:r>
    </w:p>
    <w:p w14:paraId="7A4DC7BA">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2024年度政府采购支出总额2.29万元，其中：政府采购货物支出0.13万元，政府采购工程支出0万元，政府采购服务支出2.17万元。授予中小企业合同金额1.79万元，占政府采购支出总额的78.11%，其中：授予小微企业合同金额1.79万元，占政府采购支出总额的78.11%。</w:t>
      </w:r>
    </w:p>
    <w:p w14:paraId="6197659C">
      <w:pPr>
        <w:ind w:firstLine="560" w:firstLineChars="200"/>
        <w:rPr>
          <w:rFonts w:ascii="黑体" w:eastAsia="黑体"/>
          <w:sz w:val="28"/>
          <w:szCs w:val="28"/>
          <w:highlight w:val="yellow"/>
        </w:rPr>
      </w:pPr>
      <w:r>
        <w:rPr>
          <w:rFonts w:hint="eastAsia" w:ascii="黑体" w:eastAsia="黑体"/>
          <w:sz w:val="28"/>
          <w:szCs w:val="28"/>
        </w:rPr>
        <w:t>四、国有资产占用情况</w:t>
      </w:r>
    </w:p>
    <w:p w14:paraId="4930581E">
      <w:pPr>
        <w:spacing w:line="560" w:lineRule="exact"/>
        <w:ind w:firstLine="560" w:firstLineChars="200"/>
        <w:rPr>
          <w:rFonts w:ascii="仿宋_GB2312" w:eastAsia="仿宋_GB2312"/>
          <w:sz w:val="32"/>
          <w:szCs w:val="32"/>
        </w:rPr>
      </w:pPr>
      <w:r>
        <w:rPr>
          <w:rFonts w:hint="eastAsia" w:ascii="仿宋_GB2312" w:eastAsia="仿宋_GB2312"/>
          <w:sz w:val="28"/>
          <w:szCs w:val="28"/>
        </w:rPr>
        <w:t>截至12月31日，北京开放大学怀柔分校共有车辆1台；单位价值100万元（含）以上的设备0台（套）。</w:t>
      </w:r>
    </w:p>
    <w:p w14:paraId="655F12C7">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6D6F5EDB">
      <w:pPr>
        <w:ind w:firstLine="537" w:firstLineChars="192"/>
        <w:rPr>
          <w:rFonts w:ascii="仿宋_GB2312" w:eastAsia="仿宋_GB2312"/>
          <w:sz w:val="28"/>
          <w:szCs w:val="28"/>
        </w:rPr>
      </w:pPr>
      <w:r>
        <w:rPr>
          <w:rFonts w:hint="eastAsia" w:ascii="仿宋_GB2312" w:eastAsia="仿宋_GB2312"/>
          <w:sz w:val="28"/>
          <w:szCs w:val="28"/>
        </w:rPr>
        <w:t>2024年度</w:t>
      </w:r>
      <w:r>
        <w:rPr>
          <w:rFonts w:ascii="仿宋_GB2312" w:eastAsia="仿宋_GB2312"/>
          <w:sz w:val="28"/>
          <w:szCs w:val="28"/>
        </w:rPr>
        <w:t>政府购买服务决算0</w:t>
      </w:r>
      <w:r>
        <w:rPr>
          <w:rFonts w:hint="eastAsia" w:ascii="仿宋_GB2312" w:eastAsia="仿宋_GB2312"/>
          <w:sz w:val="28"/>
          <w:szCs w:val="28"/>
        </w:rPr>
        <w:t>万元。</w:t>
      </w:r>
    </w:p>
    <w:p w14:paraId="25F3BBD8">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11316507">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17904A53">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6147C25C">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5B460FB0">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4.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3EFD9826">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5.政府采购：指各级国家机关、事业单位和团体组织，使用财政性资金采购依法制定的集中目录以内的或者采购限额标准以上的货物、工程和服务的行为，是规范财政支出管理和强化预算约束的有效措施。</w:t>
      </w:r>
    </w:p>
    <w:p w14:paraId="1ADD4F70">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6.政府购买服务：是指各级国家机关将属于自身职责范围且适合通过市场化方式提供的服务事项，按照政府采购方式和程序，交由符合条件的服务供应商承担，并根据服务数量和质量等因素向其支付费用的行为。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24086E26">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7.教育经费：是指中央和地方财政部门的财政预算中实际用于教育的费用。教育经费包括教育事业费（即各级各类的学校的人员经费和公用经费）和教育基本建设投资（建筑校舍和购置大型教学设备的费用）等。教育经费主要是指国家用于发展各级教育事业的费用，具体包括高等教育、中等专业学校、职业教育、中学教育、小学教育、幼儿教育、成人高等业余教育、民办教师补助、教师进修、干部培训、“五七”大学补助、普通业余教育、特殊教育、广播电视教育经费等。</w:t>
      </w:r>
    </w:p>
    <w:p w14:paraId="6C121780">
      <w:pPr>
        <w:spacing w:line="560" w:lineRule="exact"/>
        <w:ind w:firstLine="560" w:firstLineChars="200"/>
        <w:rPr>
          <w:rFonts w:hint="eastAsia" w:ascii="仿宋_GB2312" w:eastAsia="仿宋_GB2312"/>
          <w:sz w:val="28"/>
          <w:szCs w:val="28"/>
        </w:rPr>
      </w:pPr>
    </w:p>
    <w:p w14:paraId="059D3911">
      <w:pPr>
        <w:jc w:val="both"/>
        <w:rPr>
          <w:rFonts w:ascii="黑体" w:eastAsia="黑体"/>
          <w:sz w:val="32"/>
          <w:szCs w:val="32"/>
        </w:rPr>
      </w:pPr>
    </w:p>
    <w:p w14:paraId="394C3EB4">
      <w:pPr>
        <w:ind w:firstLine="640" w:firstLineChars="200"/>
        <w:jc w:val="center"/>
        <w:rPr>
          <w:rFonts w:ascii="黑体" w:eastAsia="黑体"/>
          <w:sz w:val="32"/>
          <w:szCs w:val="32"/>
        </w:rPr>
      </w:pPr>
      <w:r>
        <w:rPr>
          <w:rFonts w:hint="eastAsia" w:ascii="黑体" w:eastAsia="黑体"/>
          <w:sz w:val="32"/>
          <w:szCs w:val="32"/>
        </w:rPr>
        <w:t>第四部分  2024年度</w:t>
      </w:r>
      <w:r>
        <w:rPr>
          <w:rFonts w:hint="eastAsia" w:ascii="黑体" w:eastAsia="黑体"/>
          <w:sz w:val="32"/>
          <w:szCs w:val="32"/>
          <w:lang w:eastAsia="zh-CN"/>
        </w:rPr>
        <w:t>单位</w:t>
      </w:r>
      <w:r>
        <w:rPr>
          <w:rFonts w:hint="eastAsia" w:ascii="黑体" w:eastAsia="黑体"/>
          <w:sz w:val="32"/>
          <w:szCs w:val="32"/>
        </w:rPr>
        <w:t>绩效评价情况</w:t>
      </w:r>
    </w:p>
    <w:p w14:paraId="2C8CA237">
      <w:pPr>
        <w:ind w:firstLine="560" w:firstLineChars="200"/>
        <w:rPr>
          <w:rFonts w:ascii="黑体" w:eastAsia="黑体"/>
          <w:sz w:val="28"/>
          <w:szCs w:val="28"/>
          <w:highlight w:val="yellow"/>
        </w:rPr>
      </w:pPr>
    </w:p>
    <w:p w14:paraId="7481C11D">
      <w:pPr>
        <w:numPr>
          <w:ilvl w:val="0"/>
          <w:numId w:val="1"/>
        </w:numPr>
        <w:ind w:firstLine="560" w:firstLineChars="200"/>
        <w:rPr>
          <w:rFonts w:ascii="黑体" w:eastAsia="黑体"/>
          <w:sz w:val="28"/>
          <w:szCs w:val="28"/>
        </w:rPr>
      </w:pPr>
      <w:r>
        <w:rPr>
          <w:rFonts w:hint="eastAsia" w:ascii="黑体" w:eastAsia="黑体"/>
          <w:sz w:val="28"/>
          <w:szCs w:val="28"/>
          <w:lang w:eastAsia="zh-CN"/>
        </w:rPr>
        <w:t>单位</w:t>
      </w:r>
      <w:r>
        <w:rPr>
          <w:rFonts w:hint="eastAsia" w:ascii="黑体" w:eastAsia="黑体"/>
          <w:sz w:val="28"/>
          <w:szCs w:val="28"/>
        </w:rPr>
        <w:t>整体绩效评价报告（</w:t>
      </w:r>
      <w:r>
        <w:rPr>
          <w:rFonts w:hint="eastAsia" w:ascii="黑体" w:eastAsia="黑体"/>
          <w:sz w:val="28"/>
          <w:szCs w:val="28"/>
          <w:lang w:eastAsia="zh-CN"/>
        </w:rPr>
        <w:t>详见附件</w:t>
      </w:r>
      <w:r>
        <w:rPr>
          <w:rFonts w:hint="eastAsia" w:ascii="黑体" w:eastAsia="黑体"/>
          <w:sz w:val="28"/>
          <w:szCs w:val="28"/>
          <w:lang w:val="en-US" w:eastAsia="zh-CN"/>
        </w:rPr>
        <w:t>1</w:t>
      </w:r>
      <w:r>
        <w:rPr>
          <w:rFonts w:hint="eastAsia" w:ascii="黑体" w:eastAsia="黑体"/>
          <w:sz w:val="28"/>
          <w:szCs w:val="28"/>
        </w:rPr>
        <w:t>）</w:t>
      </w:r>
    </w:p>
    <w:p w14:paraId="390D463D">
      <w:pPr>
        <w:numPr>
          <w:ilvl w:val="0"/>
          <w:numId w:val="1"/>
        </w:numPr>
        <w:ind w:firstLine="560" w:firstLineChars="200"/>
        <w:rPr>
          <w:rFonts w:ascii="黑体" w:eastAsia="黑体"/>
          <w:sz w:val="28"/>
          <w:szCs w:val="28"/>
        </w:rPr>
      </w:pPr>
      <w:r>
        <w:rPr>
          <w:rFonts w:hint="eastAsia" w:ascii="黑体" w:eastAsia="黑体"/>
          <w:sz w:val="28"/>
          <w:szCs w:val="28"/>
        </w:rPr>
        <w:t>项目支出绩效评价报告</w:t>
      </w:r>
    </w:p>
    <w:p w14:paraId="19CC9B94">
      <w:pPr>
        <w:numPr>
          <w:ilvl w:val="0"/>
          <w:numId w:val="0"/>
        </w:numPr>
        <w:ind w:firstLine="1120" w:firstLineChars="400"/>
        <w:rPr>
          <w:rFonts w:hint="eastAsia" w:ascii="黑体" w:eastAsia="黑体"/>
          <w:sz w:val="28"/>
          <w:szCs w:val="28"/>
          <w:lang w:eastAsia="zh-CN"/>
        </w:rPr>
      </w:pPr>
      <w:r>
        <w:rPr>
          <w:rFonts w:hint="eastAsia" w:ascii="黑体" w:eastAsia="黑体"/>
          <w:sz w:val="28"/>
          <w:szCs w:val="28"/>
          <w:lang w:eastAsia="zh-CN"/>
        </w:rPr>
        <w:t>我单位无此项支出。</w:t>
      </w:r>
    </w:p>
    <w:p w14:paraId="56E4B338">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p>
    <w:p w14:paraId="7BA2C8D4">
      <w:pPr>
        <w:numPr>
          <w:ilvl w:val="0"/>
          <w:numId w:val="0"/>
        </w:numPr>
        <w:ind w:firstLine="1120" w:firstLineChars="400"/>
        <w:rPr>
          <w:rFonts w:ascii="黑体" w:eastAsia="黑体"/>
          <w:sz w:val="28"/>
          <w:szCs w:val="28"/>
        </w:rPr>
      </w:pPr>
      <w:r>
        <w:rPr>
          <w:rFonts w:hint="eastAsia" w:ascii="黑体" w:eastAsia="黑体"/>
          <w:sz w:val="28"/>
          <w:szCs w:val="28"/>
          <w:lang w:eastAsia="zh-CN"/>
        </w:rPr>
        <w:t>我单位无此项支出。</w:t>
      </w:r>
    </w:p>
    <w:p w14:paraId="62174E51">
      <w:pPr>
        <w:numPr>
          <w:ilvl w:val="0"/>
          <w:numId w:val="1"/>
        </w:numPr>
        <w:ind w:firstLine="560" w:firstLineChars="200"/>
        <w:rPr>
          <w:rFonts w:ascii="黑体" w:eastAsia="黑体"/>
          <w:sz w:val="28"/>
          <w:szCs w:val="28"/>
        </w:rPr>
      </w:pPr>
      <w:r>
        <w:rPr>
          <w:rFonts w:hint="eastAsia" w:ascii="黑体" w:eastAsia="黑体"/>
          <w:sz w:val="28"/>
          <w:szCs w:val="28"/>
        </w:rPr>
        <w:t>中央对北京XX转移支付预算执行情况绩效自评表</w:t>
      </w:r>
    </w:p>
    <w:p w14:paraId="5CDF1F2A">
      <w:pPr>
        <w:numPr>
          <w:ilvl w:val="0"/>
          <w:numId w:val="0"/>
        </w:numPr>
        <w:ind w:firstLine="1120" w:firstLineChars="400"/>
        <w:rPr>
          <w:rFonts w:hint="eastAsia" w:ascii="黑体" w:eastAsia="黑体"/>
          <w:sz w:val="28"/>
          <w:szCs w:val="28"/>
          <w:lang w:eastAsia="zh-CN"/>
        </w:rPr>
      </w:pPr>
      <w:r>
        <w:rPr>
          <w:rFonts w:hint="eastAsia" w:ascii="黑体" w:eastAsia="黑体"/>
          <w:sz w:val="28"/>
          <w:szCs w:val="28"/>
          <w:lang w:eastAsia="zh-CN"/>
        </w:rPr>
        <w:t>我单位无此项支出。</w:t>
      </w:r>
      <w:bookmarkStart w:id="0" w:name="_GoBack"/>
      <w:bookmarkEnd w:id="0"/>
    </w:p>
    <w:p w14:paraId="68CC4988">
      <w:pPr>
        <w:spacing w:line="480" w:lineRule="exact"/>
        <w:rPr>
          <w:rFonts w:ascii="黑体" w:eastAsia="黑体"/>
          <w:sz w:val="28"/>
          <w:szCs w:val="28"/>
        </w:rPr>
      </w:pPr>
    </w:p>
    <w:p w14:paraId="159B26F1">
      <w:pPr>
        <w:spacing w:line="480" w:lineRule="exact"/>
        <w:rPr>
          <w:rFonts w:ascii="黑体" w:eastAsia="黑体"/>
          <w:sz w:val="28"/>
          <w:szCs w:val="28"/>
        </w:rPr>
      </w:pPr>
    </w:p>
    <w:p w14:paraId="37252BEF">
      <w:pPr>
        <w:spacing w:line="480" w:lineRule="exact"/>
        <w:rPr>
          <w:rFonts w:ascii="黑体" w:eastAsia="黑体"/>
          <w:sz w:val="28"/>
          <w:szCs w:val="28"/>
        </w:rPr>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735842">
    <w:pPr>
      <w:pStyle w:val="9"/>
      <w:framePr w:wrap="around" w:vAnchor="text" w:hAnchor="margin" w:xAlign="center" w:y="1"/>
      <w:rPr>
        <w:rStyle w:val="16"/>
      </w:rPr>
    </w:pPr>
    <w:r>
      <w:fldChar w:fldCharType="begin"/>
    </w:r>
    <w:r>
      <w:rPr>
        <w:rStyle w:val="16"/>
      </w:rPr>
      <w:instrText xml:space="preserve">PAGE  </w:instrText>
    </w:r>
    <w:r>
      <w:fldChar w:fldCharType="separate"/>
    </w:r>
    <w:r>
      <w:rPr>
        <w:rStyle w:val="16"/>
      </w:rPr>
      <w:t>3</w:t>
    </w:r>
    <w:r>
      <w:fldChar w:fldCharType="end"/>
    </w:r>
  </w:p>
  <w:p w14:paraId="1D2E855C">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6A209F">
    <w:pPr>
      <w:pStyle w:val="9"/>
      <w:framePr w:wrap="around" w:vAnchor="text" w:hAnchor="margin" w:xAlign="center" w:y="1"/>
      <w:rPr>
        <w:rStyle w:val="16"/>
      </w:rPr>
    </w:pPr>
    <w:r>
      <w:fldChar w:fldCharType="begin"/>
    </w:r>
    <w:r>
      <w:rPr>
        <w:rStyle w:val="16"/>
      </w:rPr>
      <w:instrText xml:space="preserve">PAGE  </w:instrText>
    </w:r>
    <w:r>
      <w:fldChar w:fldCharType="separate"/>
    </w:r>
    <w:r>
      <w:rPr>
        <w:rStyle w:val="16"/>
      </w:rPr>
      <w:t>10</w:t>
    </w:r>
    <w:r>
      <w:fldChar w:fldCharType="end"/>
    </w:r>
  </w:p>
  <w:p w14:paraId="722CFE7A">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9FD2D6">
    <w:pPr>
      <w:pStyle w:val="9"/>
      <w:framePr w:wrap="around" w:vAnchor="text" w:hAnchor="margin" w:xAlign="center" w:y="1"/>
      <w:rPr>
        <w:rStyle w:val="16"/>
      </w:rPr>
    </w:pPr>
    <w:r>
      <w:fldChar w:fldCharType="begin"/>
    </w:r>
    <w:r>
      <w:rPr>
        <w:rStyle w:val="16"/>
      </w:rPr>
      <w:instrText xml:space="preserve">PAGE  </w:instrText>
    </w:r>
    <w:r>
      <w:fldChar w:fldCharType="separate"/>
    </w:r>
    <w:r>
      <w:rPr>
        <w:rStyle w:val="16"/>
      </w:rPr>
      <w:t>15</w:t>
    </w:r>
    <w:r>
      <w:fldChar w:fldCharType="end"/>
    </w:r>
  </w:p>
  <w:p w14:paraId="19BB1AE0">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6103"/>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23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44C9"/>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5844"/>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4DE9"/>
    <w:rsid w:val="00FE6A2B"/>
    <w:rsid w:val="00FF0275"/>
    <w:rsid w:val="00FF07B3"/>
    <w:rsid w:val="00FF1E37"/>
    <w:rsid w:val="027D344B"/>
    <w:rsid w:val="02F120AB"/>
    <w:rsid w:val="032B5196"/>
    <w:rsid w:val="04C3537C"/>
    <w:rsid w:val="079004AC"/>
    <w:rsid w:val="0BA148CA"/>
    <w:rsid w:val="0C1165C4"/>
    <w:rsid w:val="0D223345"/>
    <w:rsid w:val="0D6D544B"/>
    <w:rsid w:val="0DD136FE"/>
    <w:rsid w:val="0F8E2C57"/>
    <w:rsid w:val="1059665E"/>
    <w:rsid w:val="10AC13BA"/>
    <w:rsid w:val="12266B04"/>
    <w:rsid w:val="145A6C1B"/>
    <w:rsid w:val="14B73493"/>
    <w:rsid w:val="167A2FF9"/>
    <w:rsid w:val="18581C69"/>
    <w:rsid w:val="1AEC0734"/>
    <w:rsid w:val="1DEF20B0"/>
    <w:rsid w:val="1F3F7E1D"/>
    <w:rsid w:val="20464E39"/>
    <w:rsid w:val="214243FA"/>
    <w:rsid w:val="21AD613C"/>
    <w:rsid w:val="22467189"/>
    <w:rsid w:val="257A14F5"/>
    <w:rsid w:val="27196C26"/>
    <w:rsid w:val="29EF086F"/>
    <w:rsid w:val="2EFFE297"/>
    <w:rsid w:val="301437CA"/>
    <w:rsid w:val="349D1F0A"/>
    <w:rsid w:val="34DD0473"/>
    <w:rsid w:val="37E473CF"/>
    <w:rsid w:val="39B374CE"/>
    <w:rsid w:val="3C684897"/>
    <w:rsid w:val="433E495C"/>
    <w:rsid w:val="47BE292D"/>
    <w:rsid w:val="489F2FD7"/>
    <w:rsid w:val="4AC27CB3"/>
    <w:rsid w:val="4BF72BEF"/>
    <w:rsid w:val="4EFA45CC"/>
    <w:rsid w:val="4FA90297"/>
    <w:rsid w:val="4FC41A43"/>
    <w:rsid w:val="51DB3C59"/>
    <w:rsid w:val="54186407"/>
    <w:rsid w:val="550C0952"/>
    <w:rsid w:val="55762E42"/>
    <w:rsid w:val="57A7B272"/>
    <w:rsid w:val="58470068"/>
    <w:rsid w:val="58747CAC"/>
    <w:rsid w:val="5A1720F9"/>
    <w:rsid w:val="5B9C37C2"/>
    <w:rsid w:val="5BA7C654"/>
    <w:rsid w:val="5F7D6FD7"/>
    <w:rsid w:val="60A54109"/>
    <w:rsid w:val="61D01CDF"/>
    <w:rsid w:val="64C0607C"/>
    <w:rsid w:val="65756C86"/>
    <w:rsid w:val="674D385B"/>
    <w:rsid w:val="676F09E1"/>
    <w:rsid w:val="7357290B"/>
    <w:rsid w:val="798524E4"/>
    <w:rsid w:val="7A7F1C49"/>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7DF6419"/>
    <w:rsid w:val="EB7F4B52"/>
    <w:rsid w:val="EDAA365C"/>
    <w:rsid w:val="EDADFC12"/>
    <w:rsid w:val="F2FD229B"/>
    <w:rsid w:val="F7F709E9"/>
    <w:rsid w:val="F7FF3690"/>
    <w:rsid w:val="F9BD3900"/>
    <w:rsid w:val="FC8B9876"/>
    <w:rsid w:val="FEDFF218"/>
    <w:rsid w:val="FEDFFFFF"/>
    <w:rsid w:val="FFBF3D73"/>
    <w:rsid w:val="FFFEE3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spacing w:line="600" w:lineRule="exact"/>
      <w:ind w:firstLine="640"/>
      <w:outlineLvl w:val="0"/>
    </w:pPr>
    <w:rPr>
      <w:rFonts w:ascii="黑体" w:hAnsi="黑体" w:eastAsia="黑体" w:cs="宋体"/>
      <w:color w:val="000000"/>
      <w:kern w:val="0"/>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Normal Indent"/>
    <w:basedOn w:val="1"/>
    <w:next w:val="1"/>
    <w:qFormat/>
    <w:uiPriority w:val="0"/>
    <w:pPr>
      <w:ind w:firstLine="200" w:firstLineChars="200"/>
    </w:pPr>
  </w:style>
  <w:style w:type="paragraph" w:styleId="5">
    <w:name w:val="Body Text Indent"/>
    <w:basedOn w:val="1"/>
    <w:qFormat/>
    <w:uiPriority w:val="0"/>
    <w:pPr>
      <w:ind w:firstLine="645"/>
    </w:pPr>
    <w:rPr>
      <w:rFonts w:ascii="仿宋_GB2312" w:hAnsi="Calibri" w:eastAsia="仿宋_GB2312"/>
      <w:sz w:val="32"/>
      <w:szCs w:val="32"/>
    </w:rPr>
  </w:style>
  <w:style w:type="paragraph" w:styleId="6">
    <w:name w:val="toc 3"/>
    <w:basedOn w:val="1"/>
    <w:next w:val="1"/>
    <w:unhideWhenUsed/>
    <w:qFormat/>
    <w:uiPriority w:val="39"/>
    <w:pPr>
      <w:ind w:left="840" w:leftChars="400"/>
    </w:pPr>
  </w:style>
  <w:style w:type="paragraph" w:styleId="7">
    <w:name w:val="Date"/>
    <w:basedOn w:val="1"/>
    <w:next w:val="1"/>
    <w:qFormat/>
    <w:uiPriority w:val="0"/>
    <w:pPr>
      <w:ind w:left="100" w:leftChars="2500"/>
    </w:pPr>
  </w:style>
  <w:style w:type="paragraph" w:styleId="8">
    <w:name w:val="Balloon Text"/>
    <w:basedOn w:val="1"/>
    <w:semiHidden/>
    <w:qFormat/>
    <w:uiPriority w:val="0"/>
    <w:rPr>
      <w:sz w:val="18"/>
      <w:szCs w:val="18"/>
    </w:rPr>
  </w:style>
  <w:style w:type="paragraph" w:styleId="9">
    <w:name w:val="footer"/>
    <w:basedOn w:val="1"/>
    <w:link w:val="18"/>
    <w:qFormat/>
    <w:uiPriority w:val="0"/>
    <w:pPr>
      <w:tabs>
        <w:tab w:val="center" w:pos="4153"/>
        <w:tab w:val="right" w:pos="8306"/>
      </w:tabs>
      <w:snapToGrid w:val="0"/>
      <w:jc w:val="left"/>
    </w:pPr>
    <w:rPr>
      <w:sz w:val="18"/>
      <w:szCs w:val="18"/>
    </w:rPr>
  </w:style>
  <w:style w:type="paragraph" w:styleId="10">
    <w:name w:val="header"/>
    <w:basedOn w:val="1"/>
    <w:link w:val="19"/>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1">
    <w:name w:val="Normal (Web)"/>
    <w:basedOn w:val="1"/>
    <w:unhideWhenUsed/>
    <w:qFormat/>
    <w:uiPriority w:val="0"/>
    <w:pPr>
      <w:spacing w:before="100" w:beforeAutospacing="1" w:after="100" w:afterAutospacing="1"/>
      <w:ind w:right="238"/>
      <w:jc w:val="left"/>
    </w:pPr>
    <w:rPr>
      <w:b/>
      <w:kern w:val="0"/>
      <w:sz w:val="24"/>
      <w:szCs w:val="20"/>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qFormat/>
    <w:uiPriority w:val="0"/>
    <w:rPr>
      <w:b/>
    </w:rPr>
  </w:style>
  <w:style w:type="character" w:styleId="16">
    <w:name w:val="page number"/>
    <w:qFormat/>
    <w:uiPriority w:val="0"/>
  </w:style>
  <w:style w:type="character" w:styleId="17">
    <w:name w:val="Hyperlink"/>
    <w:basedOn w:val="14"/>
    <w:unhideWhenUsed/>
    <w:qFormat/>
    <w:uiPriority w:val="99"/>
    <w:rPr>
      <w:color w:val="0000FF"/>
      <w:u w:val="single"/>
    </w:rPr>
  </w:style>
  <w:style w:type="character" w:customStyle="1" w:styleId="18">
    <w:name w:val="页脚 Char"/>
    <w:link w:val="9"/>
    <w:qFormat/>
    <w:uiPriority w:val="0"/>
    <w:rPr>
      <w:rFonts w:eastAsia="宋体"/>
      <w:kern w:val="2"/>
      <w:sz w:val="18"/>
      <w:szCs w:val="18"/>
      <w:lang w:val="en-US" w:eastAsia="zh-CN" w:bidi="ar-SA"/>
    </w:rPr>
  </w:style>
  <w:style w:type="character" w:customStyle="1" w:styleId="19">
    <w:name w:val="页眉 Char"/>
    <w:link w:val="10"/>
    <w:qFormat/>
    <w:uiPriority w:val="0"/>
    <w:rPr>
      <w:rFonts w:ascii="Calibri" w:hAnsi="Calibri" w:eastAsia="宋体"/>
      <w:kern w:val="2"/>
      <w:sz w:val="18"/>
      <w:szCs w:val="18"/>
      <w:lang w:val="en-US" w:eastAsia="zh-CN" w:bidi="ar-SA"/>
    </w:rPr>
  </w:style>
  <w:style w:type="paragraph" w:customStyle="1" w:styleId="20">
    <w:name w:val="Char Char Char Char Char Char Char"/>
    <w:basedOn w:val="1"/>
    <w:qFormat/>
    <w:uiPriority w:val="0"/>
    <w:rPr>
      <w:rFonts w:ascii="Tahoma" w:hAnsi="Tahoma"/>
      <w:sz w:val="24"/>
      <w:szCs w:val="20"/>
    </w:rPr>
  </w:style>
  <w:style w:type="paragraph" w:customStyle="1" w:styleId="21">
    <w:name w:val="Char1 Char Char Char"/>
    <w:basedOn w:val="1"/>
    <w:qFormat/>
    <w:uiPriority w:val="0"/>
    <w:pPr>
      <w:widowControl/>
      <w:spacing w:after="160" w:line="240" w:lineRule="exact"/>
      <w:jc w:val="left"/>
    </w:pPr>
    <w:rPr>
      <w:szCs w:val="20"/>
    </w:rPr>
  </w:style>
  <w:style w:type="paragraph" w:customStyle="1" w:styleId="22">
    <w:name w:val="Char"/>
    <w:basedOn w:val="1"/>
    <w:qFormat/>
    <w:uiPriority w:val="0"/>
    <w:rPr>
      <w:rFonts w:ascii="Tahoma" w:hAnsi="Tahoma"/>
      <w:sz w:val="24"/>
      <w:szCs w:val="20"/>
    </w:rPr>
  </w:style>
  <w:style w:type="paragraph" w:customStyle="1" w:styleId="23">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591.82</c:v>
                </c:pt>
                <c:pt idx="1">
                  <c:v>0</c:v>
                </c:pt>
                <c:pt idx="2">
                  <c:v>95.31</c:v>
                </c:pt>
                <c:pt idx="3">
                  <c:v>0</c:v>
                </c:pt>
                <c:pt idx="4">
                  <c:v>0</c:v>
                </c:pt>
                <c:pt idx="5">
                  <c:v>13.07</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69a8fb03-dd15-44b8-aa7a-f6493a52db2d}"/>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590.91</c:v>
                </c:pt>
                <c:pt idx="1">
                  <c:v>120.13</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3c2a428-c49b-4482-9165-05dd5bb34699}"/>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3601</Words>
  <Characters>4053</Characters>
  <Lines>91</Lines>
  <Paragraphs>25</Paragraphs>
  <TotalTime>0</TotalTime>
  <ScaleCrop>false</ScaleCrop>
  <LinksUpToDate>false</LinksUpToDate>
  <CharactersWithSpaces>4072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2017-07-12T15:16:00Z</dcterms:created>
  <dc:creator>常程</dc:creator>
  <cp:lastModifiedBy>DELL</cp:lastModifiedBy>
  <cp:lastPrinted>2025-09-08T02:41:00Z</cp:lastPrinted>
  <dcterms:modified xsi:type="dcterms:W3CDTF">2025-09-08T06:41:36Z</dcterms:modified>
  <dc:title>北京市财政局关于做好向市人大常委会报送2015年度市级部门决算（草案）</dc:title>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435078ACFECC4A5A8A519EF4C3681114_13</vt:lpwstr>
  </property>
  <property fmtid="{D5CDD505-2E9C-101B-9397-08002B2CF9AE}" pid="4" name="KSOTemplateDocerSaveRecord">
    <vt:lpwstr>eyJoZGlkIjoiNDVhNDkwMmQ1NzZiZDgxZWIwMWYzNTZmYTU0ZjI4MzEifQ==</vt:lpwstr>
  </property>
</Properties>
</file>